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7F265" w14:textId="77777777" w:rsidR="001A01B7" w:rsidRDefault="001A01B7" w:rsidP="001A01B7">
      <w:pPr>
        <w:jc w:val="center"/>
      </w:pPr>
    </w:p>
    <w:p w14:paraId="60FB02B4" w14:textId="77777777" w:rsidR="001A01B7" w:rsidRDefault="001A01B7" w:rsidP="001A01B7">
      <w:pPr>
        <w:jc w:val="center"/>
      </w:pPr>
    </w:p>
    <w:p w14:paraId="18A39087" w14:textId="77777777" w:rsidR="001A01B7" w:rsidRDefault="001A01B7" w:rsidP="001A01B7">
      <w:pPr>
        <w:jc w:val="center"/>
      </w:pPr>
      <w:r>
        <w:rPr>
          <w:noProof/>
          <w14:ligatures w14:val="standardContextual"/>
        </w:rPr>
        <w:drawing>
          <wp:inline distT="0" distB="0" distL="0" distR="0" wp14:anchorId="78D07272" wp14:editId="6FC375F3">
            <wp:extent cx="2257425" cy="2000250"/>
            <wp:effectExtent l="0" t="0" r="9525" b="0"/>
            <wp:docPr id="32980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07239" name="Picture 329807239"/>
                    <pic:cNvPicPr/>
                  </pic:nvPicPr>
                  <pic:blipFill>
                    <a:blip r:embed="rId8">
                      <a:extLst>
                        <a:ext uri="{28A0092B-C50C-407E-A947-70E740481C1C}">
                          <a14:useLocalDpi xmlns:a14="http://schemas.microsoft.com/office/drawing/2010/main" val="0"/>
                        </a:ext>
                      </a:extLst>
                    </a:blip>
                    <a:stretch>
                      <a:fillRect/>
                    </a:stretch>
                  </pic:blipFill>
                  <pic:spPr>
                    <a:xfrm>
                      <a:off x="0" y="0"/>
                      <a:ext cx="2257425" cy="2000250"/>
                    </a:xfrm>
                    <a:prstGeom prst="rect">
                      <a:avLst/>
                    </a:prstGeom>
                  </pic:spPr>
                </pic:pic>
              </a:graphicData>
            </a:graphic>
          </wp:inline>
        </w:drawing>
      </w:r>
    </w:p>
    <w:p w14:paraId="55EC5C6A" w14:textId="77777777" w:rsidR="001A01B7" w:rsidRDefault="001A01B7" w:rsidP="001A01B7">
      <w:pPr>
        <w:jc w:val="center"/>
      </w:pPr>
    </w:p>
    <w:p w14:paraId="67A23263" w14:textId="77777777" w:rsidR="001A01B7" w:rsidRPr="00FA7087" w:rsidRDefault="001A01B7" w:rsidP="001A01B7">
      <w:pPr>
        <w:jc w:val="center"/>
        <w:rPr>
          <w:b/>
          <w:bCs/>
          <w:sz w:val="36"/>
          <w:szCs w:val="32"/>
        </w:rPr>
      </w:pPr>
      <w:r>
        <w:rPr>
          <w:b/>
          <w:bCs/>
          <w:sz w:val="36"/>
          <w:szCs w:val="32"/>
        </w:rPr>
        <w:t>Participatory Action Research for People with IDD</w:t>
      </w:r>
    </w:p>
    <w:p w14:paraId="5473DEAC" w14:textId="5A1B541A" w:rsidR="001A01B7" w:rsidRPr="00FA7087" w:rsidRDefault="001A01B7" w:rsidP="001A01B7">
      <w:pPr>
        <w:jc w:val="center"/>
        <w:rPr>
          <w:b/>
          <w:bCs/>
          <w:sz w:val="36"/>
          <w:szCs w:val="32"/>
        </w:rPr>
      </w:pPr>
      <w:r>
        <w:rPr>
          <w:b/>
          <w:bCs/>
          <w:sz w:val="36"/>
          <w:szCs w:val="32"/>
        </w:rPr>
        <w:t>A Closer Look: Keeping Benefits Safe</w:t>
      </w:r>
    </w:p>
    <w:p w14:paraId="7C325D19" w14:textId="77777777" w:rsidR="001A01B7" w:rsidRDefault="001A01B7" w:rsidP="001A01B7">
      <w:pPr>
        <w:jc w:val="center"/>
      </w:pPr>
    </w:p>
    <w:p w14:paraId="332A8883" w14:textId="77777777" w:rsidR="001A01B7" w:rsidRDefault="001A01B7" w:rsidP="001A01B7">
      <w:pPr>
        <w:jc w:val="center"/>
      </w:pPr>
    </w:p>
    <w:p w14:paraId="01C3C9F5" w14:textId="77777777" w:rsidR="001A01B7" w:rsidRDefault="001A01B7" w:rsidP="001A01B7"/>
    <w:p w14:paraId="4F27709A" w14:textId="77777777" w:rsidR="001A01B7" w:rsidRDefault="001A01B7" w:rsidP="001A01B7"/>
    <w:p w14:paraId="3717B16B" w14:textId="77777777" w:rsidR="001A01B7" w:rsidRDefault="001A01B7" w:rsidP="001A01B7"/>
    <w:p w14:paraId="22FE2ED0" w14:textId="77777777" w:rsidR="001A01B7" w:rsidRDefault="001A01B7" w:rsidP="001A01B7"/>
    <w:p w14:paraId="0C56AC58" w14:textId="77777777" w:rsidR="001A01B7" w:rsidRDefault="001A01B7" w:rsidP="001A01B7"/>
    <w:p w14:paraId="741E6A15" w14:textId="77777777" w:rsidR="001A01B7" w:rsidRDefault="001A01B7" w:rsidP="001A01B7">
      <w:r>
        <w:t>Logan Archer</w:t>
      </w:r>
    </w:p>
    <w:p w14:paraId="4DD897B9" w14:textId="77777777" w:rsidR="001A01B7" w:rsidRDefault="001A01B7" w:rsidP="001A01B7">
      <w:r>
        <w:t>Cynthia Burrow</w:t>
      </w:r>
    </w:p>
    <w:p w14:paraId="094163DC" w14:textId="77777777" w:rsidR="001A01B7" w:rsidRDefault="001A01B7" w:rsidP="001A01B7">
      <w:r>
        <w:t>James Meadours</w:t>
      </w:r>
    </w:p>
    <w:p w14:paraId="2CA0A59F" w14:textId="77777777" w:rsidR="001A01B7" w:rsidRDefault="001A01B7" w:rsidP="001A01B7">
      <w:r>
        <w:t>Ashley Sattler</w:t>
      </w:r>
    </w:p>
    <w:p w14:paraId="29FE8F2B" w14:textId="77777777" w:rsidR="001A01B7" w:rsidRDefault="001A01B7" w:rsidP="001A01B7">
      <w:r>
        <w:t>Katie Sheffield</w:t>
      </w:r>
    </w:p>
    <w:p w14:paraId="25C72643" w14:textId="77777777" w:rsidR="001A01B7" w:rsidRDefault="001A01B7" w:rsidP="001A01B7">
      <w:r>
        <w:t>Marci Whiteman</w:t>
      </w:r>
    </w:p>
    <w:p w14:paraId="6413904F" w14:textId="77777777" w:rsidR="001A01B7" w:rsidRDefault="001A01B7" w:rsidP="001A01B7"/>
    <w:p w14:paraId="5D941AD6" w14:textId="77777777" w:rsidR="001A01B7" w:rsidRDefault="001A01B7" w:rsidP="001A01B7">
      <w:pPr>
        <w:sectPr w:rsidR="001A01B7" w:rsidSect="001A01B7">
          <w:pgSz w:w="12240" w:h="15840"/>
          <w:pgMar w:top="1440" w:right="1440" w:bottom="1440" w:left="1440" w:header="720" w:footer="720" w:gutter="0"/>
          <w:cols w:space="720"/>
          <w:docGrid w:linePitch="360"/>
        </w:sectPr>
      </w:pPr>
      <w:r>
        <w:t>March 2026</w:t>
      </w:r>
    </w:p>
    <w:p w14:paraId="15D6726A" w14:textId="77777777" w:rsidR="001A01B7" w:rsidRDefault="001A01B7" w:rsidP="001A01B7">
      <w:pPr>
        <w:jc w:val="center"/>
        <w:rPr>
          <w:b/>
          <w:bCs/>
          <w:sz w:val="32"/>
          <w:szCs w:val="28"/>
        </w:rPr>
      </w:pPr>
    </w:p>
    <w:p w14:paraId="5EF00AD9" w14:textId="77777777" w:rsidR="001A01B7" w:rsidRDefault="001A01B7" w:rsidP="001A01B7">
      <w:pPr>
        <w:jc w:val="center"/>
        <w:rPr>
          <w:b/>
          <w:bCs/>
          <w:sz w:val="32"/>
          <w:szCs w:val="28"/>
        </w:rPr>
      </w:pPr>
    </w:p>
    <w:p w14:paraId="39DD0578" w14:textId="77777777" w:rsidR="001A01B7" w:rsidRDefault="001A01B7" w:rsidP="001A01B7">
      <w:pPr>
        <w:jc w:val="center"/>
      </w:pPr>
      <w:r>
        <w:rPr>
          <w:noProof/>
          <w14:ligatures w14:val="standardContextual"/>
        </w:rPr>
        <w:drawing>
          <wp:inline distT="0" distB="0" distL="0" distR="0" wp14:anchorId="3890D2E7" wp14:editId="26F7C9DA">
            <wp:extent cx="2964180" cy="608670"/>
            <wp:effectExtent l="0" t="0" r="7620" b="1270"/>
            <wp:docPr id="1485516922" name="Picture 2" descr="A blue and green text on a black background&#10;&#10;AI-generated content may be incorrec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16922" name="Picture 2" descr="A blue and green text on a black background&#10;&#10;AI-generated content may be incorrect.">
                      <a:hlinkClick r:id="rId9"/>
                    </pic:cNvPr>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3013633" cy="618825"/>
                    </a:xfrm>
                    <a:prstGeom prst="rect">
                      <a:avLst/>
                    </a:prstGeom>
                  </pic:spPr>
                </pic:pic>
              </a:graphicData>
            </a:graphic>
          </wp:inline>
        </w:drawing>
      </w:r>
    </w:p>
    <w:p w14:paraId="6F278FE0" w14:textId="77777777" w:rsidR="001A01B7" w:rsidRDefault="001A01B7" w:rsidP="001A01B7">
      <w:pPr>
        <w:jc w:val="center"/>
      </w:pPr>
    </w:p>
    <w:p w14:paraId="5BC788EC" w14:textId="77777777" w:rsidR="001A01B7" w:rsidRDefault="001A01B7" w:rsidP="001A01B7">
      <w:pPr>
        <w:jc w:val="center"/>
      </w:pPr>
    </w:p>
    <w:p w14:paraId="10DCAC04" w14:textId="77777777" w:rsidR="001A01B7" w:rsidRDefault="001A01B7" w:rsidP="001A01B7">
      <w:pPr>
        <w:jc w:val="center"/>
      </w:pPr>
    </w:p>
    <w:p w14:paraId="7CBFC69A" w14:textId="77777777" w:rsidR="001A01B7" w:rsidRDefault="001A01B7" w:rsidP="001A01B7">
      <w:pPr>
        <w:tabs>
          <w:tab w:val="right" w:pos="9270"/>
        </w:tabs>
        <w:rPr>
          <w:b/>
          <w:bCs/>
        </w:rPr>
      </w:pPr>
    </w:p>
    <w:p w14:paraId="64330824" w14:textId="77777777" w:rsidR="001A01B7" w:rsidRPr="00057D6F" w:rsidRDefault="001A01B7" w:rsidP="001A01B7">
      <w:pPr>
        <w:tabs>
          <w:tab w:val="right" w:pos="9270"/>
        </w:tabs>
        <w:rPr>
          <w:b/>
          <w:bCs/>
        </w:rPr>
      </w:pPr>
      <w:r w:rsidRPr="00057D6F">
        <w:rPr>
          <w:b/>
          <w:bCs/>
        </w:rPr>
        <w:t>Authors</w:t>
      </w:r>
      <w:r>
        <w:rPr>
          <w:b/>
          <w:bCs/>
        </w:rPr>
        <w:tab/>
        <w:t>Reviewers</w:t>
      </w:r>
    </w:p>
    <w:p w14:paraId="14CC3335" w14:textId="77777777" w:rsidR="001A01B7" w:rsidRDefault="001A01B7" w:rsidP="001A01B7">
      <w:pPr>
        <w:tabs>
          <w:tab w:val="right" w:pos="9270"/>
        </w:tabs>
      </w:pPr>
      <w:r>
        <w:t>Logan Archer</w:t>
      </w:r>
      <w:r>
        <w:tab/>
        <w:t>Grace Bednar</w:t>
      </w:r>
    </w:p>
    <w:p w14:paraId="78D541D5" w14:textId="77777777" w:rsidR="001A01B7" w:rsidRDefault="001A01B7" w:rsidP="001A01B7">
      <w:pPr>
        <w:tabs>
          <w:tab w:val="right" w:pos="9270"/>
        </w:tabs>
      </w:pPr>
      <w:hyperlink r:id="rId11" w:history="1">
        <w:r w:rsidRPr="00057D6F">
          <w:rPr>
            <w:rStyle w:val="Hyperlink"/>
          </w:rPr>
          <w:t>Cynthia Burrow</w:t>
        </w:r>
      </w:hyperlink>
      <w:r>
        <w:tab/>
        <w:t>Lisa Sheffield</w:t>
      </w:r>
    </w:p>
    <w:p w14:paraId="284B7075" w14:textId="77777777" w:rsidR="001A01B7" w:rsidRDefault="001A01B7" w:rsidP="001A01B7">
      <w:pPr>
        <w:tabs>
          <w:tab w:val="right" w:pos="9270"/>
        </w:tabs>
      </w:pPr>
      <w:r>
        <w:t>James Meadours</w:t>
      </w:r>
      <w:r>
        <w:tab/>
        <w:t>Vanessa Simmons</w:t>
      </w:r>
    </w:p>
    <w:p w14:paraId="7125F784" w14:textId="77777777" w:rsidR="001A01B7" w:rsidRDefault="001A01B7" w:rsidP="001A01B7">
      <w:pPr>
        <w:tabs>
          <w:tab w:val="right" w:pos="9270"/>
        </w:tabs>
      </w:pPr>
      <w:r>
        <w:t>Katie Sheffield</w:t>
      </w:r>
    </w:p>
    <w:p w14:paraId="589579F0" w14:textId="77777777" w:rsidR="001A01B7" w:rsidRDefault="001A01B7" w:rsidP="001A01B7">
      <w:pPr>
        <w:tabs>
          <w:tab w:val="right" w:pos="9270"/>
        </w:tabs>
      </w:pPr>
      <w:r>
        <w:t>Keith Wallace</w:t>
      </w:r>
    </w:p>
    <w:p w14:paraId="7973D71B" w14:textId="77777777" w:rsidR="001A01B7" w:rsidRDefault="001A01B7" w:rsidP="001A01B7">
      <w:pPr>
        <w:tabs>
          <w:tab w:val="right" w:pos="9270"/>
        </w:tabs>
      </w:pPr>
      <w:r>
        <w:t>Marci Whiteman</w:t>
      </w:r>
    </w:p>
    <w:p w14:paraId="6C102EBA" w14:textId="77777777" w:rsidR="001A01B7" w:rsidRDefault="001A01B7" w:rsidP="001A01B7"/>
    <w:p w14:paraId="43DD8297" w14:textId="77777777" w:rsidR="001A01B7" w:rsidRDefault="001A01B7" w:rsidP="001A01B7">
      <w:pPr>
        <w:jc w:val="center"/>
      </w:pPr>
      <w:r>
        <w:t>Learn more at:</w:t>
      </w:r>
    </w:p>
    <w:p w14:paraId="23E7BFC9" w14:textId="77777777" w:rsidR="001A01B7" w:rsidRDefault="001A01B7" w:rsidP="001A01B7">
      <w:pPr>
        <w:jc w:val="center"/>
      </w:pPr>
      <w:hyperlink r:id="rId12" w:history="1">
        <w:r w:rsidRPr="00B70302">
          <w:rPr>
            <w:rStyle w:val="Hyperlink"/>
          </w:rPr>
          <w:t>http://www.selfadvocatenetwork.com</w:t>
        </w:r>
      </w:hyperlink>
    </w:p>
    <w:p w14:paraId="0CB54F33" w14:textId="77777777" w:rsidR="001A01B7" w:rsidRPr="00057D6F" w:rsidRDefault="001A01B7" w:rsidP="001A01B7"/>
    <w:p w14:paraId="22AC0E74" w14:textId="77777777" w:rsidR="001A01B7" w:rsidRDefault="001A01B7" w:rsidP="001A01B7"/>
    <w:p w14:paraId="3DB33116" w14:textId="77777777" w:rsidR="001A01B7" w:rsidRDefault="001A01B7" w:rsidP="001A01B7"/>
    <w:p w14:paraId="1E6EF4A2" w14:textId="77777777" w:rsidR="001A01B7" w:rsidRDefault="001A01B7" w:rsidP="001A01B7"/>
    <w:p w14:paraId="21ABA3F3" w14:textId="77777777" w:rsidR="001A01B7" w:rsidRDefault="001A01B7" w:rsidP="001A01B7">
      <w:pPr>
        <w:pBdr>
          <w:top w:val="single" w:sz="4" w:space="1" w:color="auto"/>
        </w:pBdr>
      </w:pPr>
    </w:p>
    <w:p w14:paraId="50BD647D" w14:textId="77777777" w:rsidR="001A01B7" w:rsidRPr="00FF6F91" w:rsidRDefault="001A01B7" w:rsidP="001A01B7">
      <w:r w:rsidRPr="00FF6F91">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p>
    <w:p w14:paraId="0CC4E6A1" w14:textId="77777777" w:rsidR="001A01B7" w:rsidRPr="00FF6F91" w:rsidRDefault="001A01B7" w:rsidP="001A01B7">
      <w:pPr>
        <w:sectPr w:rsidR="001A01B7" w:rsidRPr="00FF6F91" w:rsidSect="001A01B7">
          <w:pgSz w:w="12240" w:h="15840"/>
          <w:pgMar w:top="1440" w:right="1440" w:bottom="1440" w:left="1440" w:header="720" w:footer="720" w:gutter="0"/>
          <w:pgNumType w:start="1"/>
          <w:cols w:space="720"/>
        </w:sectPr>
      </w:pPr>
    </w:p>
    <w:p w14:paraId="00000001" w14:textId="0E92A01B" w:rsidR="003F62A0" w:rsidRDefault="001A01B7">
      <w:pPr>
        <w:pStyle w:val="Heading1"/>
      </w:pPr>
      <w:r>
        <w:lastRenderedPageBreak/>
        <w:t>2. Keeping Benefits Safe</w:t>
      </w:r>
    </w:p>
    <w:p w14:paraId="00000002" w14:textId="77777777" w:rsidR="003F62A0" w:rsidRDefault="00000000">
      <w:pPr>
        <w:pStyle w:val="Heading2"/>
      </w:pPr>
      <w:r>
        <w:t>Why Is This Important?</w:t>
      </w:r>
    </w:p>
    <w:p w14:paraId="00000003" w14:textId="77777777" w:rsidR="003F62A0" w:rsidRDefault="00000000">
      <w:r>
        <w:t>Self-advocates bring lived expertise to projects. They should be paid fairly for the work they do. But many self-advocates get local, state, and/or federal benefits. These benefits are usually affected by pay. Families/caregivers, researchers, and self-advocates should talk about pay. They should work together to plan for any impact on benefits. This section includes links to online publications. Remember to check for updates and the latest version of documents and links.</w:t>
      </w:r>
    </w:p>
    <w:p w14:paraId="00000004" w14:textId="77777777" w:rsidR="003F62A0" w:rsidRDefault="00000000">
      <w:pPr>
        <w:pStyle w:val="Heading2"/>
      </w:pPr>
      <w:r>
        <w:t>Important Words to Know</w:t>
      </w:r>
    </w:p>
    <w:p w14:paraId="00000005" w14:textId="77777777" w:rsidR="003F62A0" w:rsidRDefault="00000000" w:rsidP="001F4753">
      <w:pPr>
        <w:pStyle w:val="Heading3"/>
      </w:pPr>
      <w:r>
        <w:t>1099 Contractor</w:t>
      </w:r>
    </w:p>
    <w:p w14:paraId="00000006" w14:textId="77777777" w:rsidR="003F62A0" w:rsidRDefault="00000000" w:rsidP="001F4753">
      <w:pPr>
        <w:pStyle w:val="Heading3"/>
        <w:rPr>
          <w:b w:val="0"/>
          <w:bCs w:val="0"/>
        </w:rPr>
      </w:pPr>
      <w:r>
        <w:rPr>
          <w:b w:val="0"/>
          <w:bCs w:val="0"/>
        </w:rPr>
        <w:t>A person who is paid directly. They handle their own taxes. The organization does not take out taxes or pay part of them.</w:t>
      </w:r>
    </w:p>
    <w:p w14:paraId="00000007" w14:textId="77777777" w:rsidR="003F62A0" w:rsidRDefault="00000000" w:rsidP="001F4753">
      <w:pPr>
        <w:pStyle w:val="Heading3"/>
      </w:pPr>
      <w:r>
        <w:t>Employee</w:t>
      </w:r>
    </w:p>
    <w:p w14:paraId="00000008" w14:textId="77777777" w:rsidR="003F62A0" w:rsidRDefault="00000000" w:rsidP="001F4753">
      <w:pPr>
        <w:pStyle w:val="Heading3"/>
        <w:rPr>
          <w:b w:val="0"/>
          <w:bCs w:val="0"/>
        </w:rPr>
      </w:pPr>
      <w:r>
        <w:rPr>
          <w:b w:val="0"/>
          <w:bCs w:val="0"/>
        </w:rPr>
        <w:t>A person whose employer takes out taxes. The employer pays part of the taxes. The employee gets a paycheck with taxes already deducted.</w:t>
      </w:r>
    </w:p>
    <w:p w14:paraId="00000009" w14:textId="77777777" w:rsidR="003F62A0" w:rsidRDefault="00000000" w:rsidP="001F4753">
      <w:pPr>
        <w:pStyle w:val="Heading3"/>
      </w:pPr>
      <w:r>
        <w:t>SSI (Supplemental Security Income) and SSDI (Social Security Disability Insurance)</w:t>
      </w:r>
    </w:p>
    <w:p w14:paraId="0000000A" w14:textId="77777777" w:rsidR="003F62A0" w:rsidRDefault="00000000" w:rsidP="001F4753">
      <w:pPr>
        <w:ind w:left="360"/>
      </w:pPr>
      <w:r>
        <w:t>Federal programs that give money each month to people with disabilities who qualify. To keep these benefits, people  must stay under income and asset caps.</w:t>
      </w:r>
    </w:p>
    <w:p w14:paraId="0000000B" w14:textId="77777777" w:rsidR="003F62A0" w:rsidRDefault="00000000" w:rsidP="001F4753">
      <w:pPr>
        <w:pStyle w:val="Heading3"/>
      </w:pPr>
      <w:r>
        <w:t>CWIC (Community Work Incentives Coordinator)</w:t>
      </w:r>
    </w:p>
    <w:p w14:paraId="0000000C" w14:textId="77777777" w:rsidR="003F62A0" w:rsidRDefault="00000000" w:rsidP="001F4753">
      <w:pPr>
        <w:ind w:left="360"/>
      </w:pPr>
      <w:r>
        <w:t>A trained expert who helps people know how working affects their benefits. CWICs do not work for the SSA. They work for community agencies that receive SSA funding through the WIPA program. They work under a program called Work Incentives Planning and Assistance (WIPA).</w:t>
      </w:r>
    </w:p>
    <w:p w14:paraId="0000000D" w14:textId="77777777" w:rsidR="003F62A0" w:rsidRDefault="00000000" w:rsidP="001F4753">
      <w:pPr>
        <w:pStyle w:val="Heading3"/>
      </w:pPr>
      <w:r>
        <w:t>WIPA (Work Incentives Planning and Assistance)</w:t>
      </w:r>
    </w:p>
    <w:p w14:paraId="0000000E" w14:textId="77777777" w:rsidR="003F62A0" w:rsidRDefault="00000000" w:rsidP="001F4753">
      <w:pPr>
        <w:ind w:left="360"/>
      </w:pPr>
      <w:r>
        <w:t>The SSA program that funds CWICs. It gives free benefits counseling to people who work or want to work.</w:t>
      </w:r>
    </w:p>
    <w:p w14:paraId="0000000F" w14:textId="77777777" w:rsidR="003F62A0" w:rsidRDefault="00000000" w:rsidP="001F4753">
      <w:pPr>
        <w:pStyle w:val="Heading3"/>
      </w:pPr>
      <w:r>
        <w:t>TTW (Ticket to Work)</w:t>
      </w:r>
    </w:p>
    <w:p w14:paraId="00000010" w14:textId="77777777" w:rsidR="003F62A0" w:rsidRDefault="00000000" w:rsidP="001F4753">
      <w:pPr>
        <w:ind w:left="360"/>
      </w:pPr>
      <w:r>
        <w:t>A program that helps people with disabilities find jobs and connect with CWICs.</w:t>
      </w:r>
    </w:p>
    <w:p w14:paraId="00000011" w14:textId="77777777" w:rsidR="003F62A0" w:rsidRDefault="00000000" w:rsidP="001F4753">
      <w:pPr>
        <w:pStyle w:val="Heading3"/>
      </w:pPr>
      <w:r>
        <w:t>BPQY (Benefits Planning Query)</w:t>
      </w:r>
    </w:p>
    <w:p w14:paraId="00000012" w14:textId="77777777" w:rsidR="003F62A0" w:rsidRDefault="00000000" w:rsidP="001F4753">
      <w:pPr>
        <w:ind w:left="360"/>
      </w:pPr>
      <w:r>
        <w:t>A report from the SSA showing what benefits a person gets and how work might affect them.</w:t>
      </w:r>
    </w:p>
    <w:p w14:paraId="00000013" w14:textId="77777777" w:rsidR="003F62A0" w:rsidRDefault="00000000">
      <w:pPr>
        <w:pStyle w:val="Heading2"/>
      </w:pPr>
      <w:r>
        <w:lastRenderedPageBreak/>
        <w:t>What Do I Need to Know?</w:t>
      </w:r>
    </w:p>
    <w:p w14:paraId="00000014" w14:textId="77777777" w:rsidR="003F62A0" w:rsidRDefault="00000000" w:rsidP="001F4753">
      <w:pPr>
        <w:pStyle w:val="Heading3"/>
        <w:ind w:left="0" w:firstLine="360"/>
      </w:pPr>
      <w:r>
        <w:t>Plan Ahead to Keep Benefits Safe</w:t>
      </w:r>
    </w:p>
    <w:p w14:paraId="00000015" w14:textId="77777777" w:rsidR="003F62A0" w:rsidRDefault="00000000">
      <w:pPr>
        <w:ind w:left="360"/>
      </w:pPr>
      <w:r>
        <w:t>There is much to know about benefits, wage reporting, and income and asset caps. Families and caregivers should talk with the Research Lead before work starts. This helps set up the self-advocate’s pay in a way that protects benefits. Talk about:</w:t>
      </w:r>
    </w:p>
    <w:p w14:paraId="00000016" w14:textId="77777777" w:rsidR="003F62A0" w:rsidRDefault="00000000">
      <w:pPr>
        <w:numPr>
          <w:ilvl w:val="0"/>
          <w:numId w:val="1"/>
        </w:numPr>
        <w:pBdr>
          <w:top w:val="nil"/>
          <w:left w:val="nil"/>
          <w:bottom w:val="nil"/>
          <w:right w:val="nil"/>
          <w:between w:val="nil"/>
        </w:pBdr>
        <w:spacing w:after="0"/>
        <w:rPr>
          <w:color w:val="000000"/>
        </w:rPr>
      </w:pPr>
      <w:r>
        <w:rPr>
          <w:color w:val="000000"/>
        </w:rPr>
        <w:t>How much the self-advocate will earn and when they will be paid</w:t>
      </w:r>
    </w:p>
    <w:p w14:paraId="00000017" w14:textId="77777777" w:rsidR="003F62A0" w:rsidRDefault="00000000">
      <w:pPr>
        <w:numPr>
          <w:ilvl w:val="0"/>
          <w:numId w:val="1"/>
        </w:numPr>
        <w:pBdr>
          <w:top w:val="nil"/>
          <w:left w:val="nil"/>
          <w:bottom w:val="nil"/>
          <w:right w:val="nil"/>
          <w:between w:val="nil"/>
        </w:pBdr>
        <w:spacing w:after="0"/>
        <w:rPr>
          <w:color w:val="000000"/>
        </w:rPr>
      </w:pPr>
      <w:r>
        <w:rPr>
          <w:color w:val="000000"/>
        </w:rPr>
        <w:t>Whether the person will be an employee or an independent contractor</w:t>
      </w:r>
    </w:p>
    <w:p w14:paraId="00000018" w14:textId="77777777" w:rsidR="003F62A0" w:rsidRDefault="00000000">
      <w:pPr>
        <w:numPr>
          <w:ilvl w:val="0"/>
          <w:numId w:val="1"/>
        </w:numPr>
        <w:pBdr>
          <w:top w:val="nil"/>
          <w:left w:val="nil"/>
          <w:bottom w:val="nil"/>
          <w:right w:val="nil"/>
          <w:between w:val="nil"/>
        </w:pBdr>
        <w:rPr>
          <w:color w:val="000000"/>
        </w:rPr>
      </w:pPr>
      <w:r>
        <w:rPr>
          <w:color w:val="000000"/>
        </w:rPr>
        <w:t>Other benefits that might be affected, such as Medicaid or housing subsidies</w:t>
      </w:r>
    </w:p>
    <w:p w14:paraId="00000019" w14:textId="77777777" w:rsidR="003F62A0" w:rsidRDefault="00000000">
      <w:pPr>
        <w:ind w:left="360"/>
      </w:pPr>
      <w:r>
        <w:t>It may be helpful to read through this section of the Family Support Guide together. This will relieve stress for self-advocates, families, and caregivers. They will know the self-advocate’s benefits are safe.</w:t>
      </w:r>
    </w:p>
    <w:p w14:paraId="0000001A" w14:textId="77777777" w:rsidR="003F62A0" w:rsidRDefault="00000000">
      <w:pPr>
        <w:pBdr>
          <w:top w:val="single" w:sz="4" w:space="1" w:color="000000"/>
          <w:left w:val="single" w:sz="4" w:space="4" w:color="000000"/>
          <w:bottom w:val="single" w:sz="4" w:space="1" w:color="000000"/>
          <w:right w:val="single" w:sz="4" w:space="4" w:color="000000"/>
        </w:pBdr>
        <w:ind w:left="360"/>
      </w:pPr>
      <w:r>
        <w:t>Example:</w:t>
      </w:r>
    </w:p>
    <w:p w14:paraId="0000001B" w14:textId="77777777" w:rsidR="003F62A0" w:rsidRDefault="00000000">
      <w:pPr>
        <w:pBdr>
          <w:top w:val="single" w:sz="4" w:space="1" w:color="000000"/>
          <w:left w:val="single" w:sz="4" w:space="4" w:color="000000"/>
          <w:bottom w:val="single" w:sz="4" w:space="1" w:color="000000"/>
          <w:right w:val="single" w:sz="4" w:space="4" w:color="000000"/>
        </w:pBdr>
        <w:ind w:left="360"/>
      </w:pPr>
      <w:r>
        <w:t>A self-advocate gets a housing subsidy if their monthly income is below $500. The researcher wants to pay the self-advocate $1,200 every 3 months. That much income in one month would put their housing benefit at risk. The family asks the Research Lead to use smaller, more regular payments. Instead of one large payment, the self-advocate gets $400 each month. This helps the self-advocate keep their housing support.</w:t>
      </w:r>
    </w:p>
    <w:p w14:paraId="0000001C" w14:textId="77777777" w:rsidR="003F62A0" w:rsidRDefault="00000000">
      <w:pPr>
        <w:ind w:left="360"/>
        <w:rPr>
          <w:b/>
          <w:bCs/>
        </w:rPr>
      </w:pPr>
      <w:r>
        <w:rPr>
          <w:b/>
          <w:bCs/>
        </w:rPr>
        <w:t>Reporting Wages to SSA</w:t>
      </w:r>
    </w:p>
    <w:p w14:paraId="0000001D" w14:textId="77777777" w:rsidR="003F62A0" w:rsidRDefault="00000000">
      <w:pPr>
        <w:ind w:left="360"/>
      </w:pPr>
      <w:r>
        <w:t xml:space="preserve">In the last section, </w:t>
      </w:r>
      <w:r>
        <w:rPr>
          <w:i/>
          <w:iCs/>
        </w:rPr>
        <w:t>Communicating with Researchers</w:t>
      </w:r>
      <w:r>
        <w:t>, we talked about how employees and 1099 contractors are paid differently. Employers report wages for both types of workers at the end of each year to both the SSA and the IRS. Employers withhold and report payroll taxes for employees. 1099 contractors must pay and report their own quarterly payroll taxes.</w:t>
      </w:r>
    </w:p>
    <w:p w14:paraId="0000001E" w14:textId="77777777" w:rsidR="003F62A0" w:rsidRDefault="00000000">
      <w:pPr>
        <w:ind w:left="360"/>
      </w:pPr>
      <w:r>
        <w:t xml:space="preserve">People who receive SSDI or SSI must also report income </w:t>
      </w:r>
      <w:r>
        <w:rPr>
          <w:i/>
          <w:iCs/>
        </w:rPr>
        <w:t>monthly</w:t>
      </w:r>
      <w:r>
        <w:t xml:space="preserve"> to SSA. Reporting income correctly helps prevent overpayments or lost benefits. Families and caregivers often help with this process. The Research Lead should also help by giving clear payment details and helping the self-advocate find support when needed.</w:t>
      </w:r>
    </w:p>
    <w:p w14:paraId="0000001F" w14:textId="77777777" w:rsidR="003F62A0" w:rsidRDefault="00000000">
      <w:pPr>
        <w:ind w:left="360"/>
      </w:pPr>
      <w:r>
        <w:t>For SSI, report wages by the 6th of the month for the previous month’s income. For SSDI, report wages as soon as possible; SSA recommends by the 10</w:t>
      </w:r>
      <w:r>
        <w:rPr>
          <w:vertAlign w:val="superscript"/>
        </w:rPr>
        <w:t>th</w:t>
      </w:r>
      <w:r>
        <w:t xml:space="preserve"> of the month for the previous month’s income.</w:t>
      </w:r>
      <w:r>
        <w:rPr>
          <w:b/>
          <w:bCs/>
        </w:rPr>
        <w:t xml:space="preserve"> </w:t>
      </w:r>
      <w:r>
        <w:t xml:space="preserve">There are many ways to report. You can use an app, report online, report over the phone, and more. For more information on the options, visit the SSA wage reporting page: </w:t>
      </w:r>
      <w:hyperlink r:id="rId13">
        <w:r w:rsidR="003F62A0">
          <w:rPr>
            <w:color w:val="467886"/>
            <w:u w:val="single"/>
          </w:rPr>
          <w:t>https://www.ssa.gov/ssi/reporting/wages</w:t>
        </w:r>
      </w:hyperlink>
      <w:r>
        <w:t xml:space="preserve">. Rules can change, so always double-check reporting dates on the SSA website or through your </w:t>
      </w:r>
      <w:r>
        <w:lastRenderedPageBreak/>
        <w:t xml:space="preserve">local SSA office. SSA also offers monthly reminder alerts, which can be set up in the self-advocate’s </w:t>
      </w:r>
      <w:r>
        <w:rPr>
          <w:i/>
          <w:iCs/>
        </w:rPr>
        <w:t>my Social Security</w:t>
      </w:r>
      <w:r>
        <w:t xml:space="preserve"> account.</w:t>
      </w:r>
    </w:p>
    <w:p w14:paraId="00000020" w14:textId="77777777" w:rsidR="003F62A0" w:rsidRDefault="00000000">
      <w:pPr>
        <w:ind w:left="360"/>
      </w:pPr>
      <w:r>
        <w:t>SSA asks for the same information each month. This includes the self-advocate’s name and social security number. It also includes the amount they earned before taxes, the employer name, and the pay period covered. If it is helpful, ask the Research Lead to include a payment summary form each time the self-advocate is paid. This form should include the details listed above to make wage reporting easier for families.</w:t>
      </w:r>
    </w:p>
    <w:p w14:paraId="00000021" w14:textId="77777777" w:rsidR="003F62A0" w:rsidRDefault="00000000">
      <w:pPr>
        <w:pBdr>
          <w:top w:val="single" w:sz="4" w:space="1" w:color="000000"/>
          <w:left w:val="single" w:sz="4" w:space="4" w:color="000000"/>
          <w:bottom w:val="single" w:sz="4" w:space="1" w:color="000000"/>
          <w:right w:val="single" w:sz="4" w:space="4" w:color="000000"/>
        </w:pBdr>
        <w:ind w:left="360"/>
      </w:pPr>
      <w:r>
        <w:rPr>
          <w:b/>
          <w:bCs/>
        </w:rPr>
        <w:t>Example:</w:t>
      </w:r>
    </w:p>
    <w:p w14:paraId="00000022" w14:textId="77777777" w:rsidR="003F62A0" w:rsidRDefault="00000000">
      <w:pPr>
        <w:pBdr>
          <w:top w:val="single" w:sz="4" w:space="1" w:color="000000"/>
          <w:left w:val="single" w:sz="4" w:space="4" w:color="000000"/>
          <w:bottom w:val="single" w:sz="4" w:space="1" w:color="000000"/>
          <w:right w:val="single" w:sz="4" w:space="4" w:color="000000"/>
        </w:pBdr>
        <w:ind w:left="360"/>
      </w:pPr>
      <w:r>
        <w:t>A self-advocate gets paid with a written check. The check comes in the mail with no paystub or other information. This makes it hard to report to SSA. They ask the Research Lead to include a formal pay stub each time the self-advocate is paid. They will have all the information they need to report wages in one place.</w:t>
      </w:r>
    </w:p>
    <w:p w14:paraId="00000023" w14:textId="77777777" w:rsidR="003F62A0" w:rsidRDefault="00000000">
      <w:pPr>
        <w:ind w:left="360"/>
        <w:rPr>
          <w:b/>
          <w:bCs/>
        </w:rPr>
      </w:pPr>
      <w:r>
        <w:rPr>
          <w:b/>
          <w:bCs/>
        </w:rPr>
        <w:t>Income and Asset Caps</w:t>
      </w:r>
    </w:p>
    <w:p w14:paraId="00000024" w14:textId="77777777" w:rsidR="003F62A0" w:rsidRDefault="00000000">
      <w:pPr>
        <w:ind w:left="360"/>
      </w:pPr>
      <w:r>
        <w:t>People who receive SSI or SSDI must follow rules about how much they can earn and how much money they can have in the bank. These rules help the SSA decide whether benefits can continue. Families and caregivers should know these limits so they can plan ahead and avoid problems.</w:t>
      </w:r>
    </w:p>
    <w:p w14:paraId="00000025" w14:textId="77777777" w:rsidR="003F62A0" w:rsidRDefault="00000000">
      <w:pPr>
        <w:ind w:left="360"/>
      </w:pPr>
      <w:r>
        <w:rPr>
          <w:i/>
          <w:iCs/>
        </w:rPr>
        <w:t>Income caps</w:t>
      </w:r>
      <w:r>
        <w:t xml:space="preserve"> limit how much someone can earn in a month. SSI has strict monthly income limits that can reduce the SSI payment. You can find current rules here: ssa.gov/</w:t>
      </w:r>
      <w:proofErr w:type="spellStart"/>
      <w:r>
        <w:t>ssi</w:t>
      </w:r>
      <w:proofErr w:type="spellEnd"/>
      <w:r>
        <w:t>/text-income-ussi.htm. SSDI uses Substantial Gainful Activity (SGA). Earning over the SGA level for too long can stop SSDI. You can find current SGA amounts here: ssa.gov/</w:t>
      </w:r>
      <w:proofErr w:type="spellStart"/>
      <w:r>
        <w:t>oact</w:t>
      </w:r>
      <w:proofErr w:type="spellEnd"/>
      <w:r>
        <w:t xml:space="preserve">/cola/sga.html. </w:t>
      </w:r>
      <w:r>
        <w:rPr>
          <w:i/>
          <w:iCs/>
        </w:rPr>
        <w:t>Rules change yearly, so always check for updates</w:t>
      </w:r>
      <w:r>
        <w:t>.</w:t>
      </w:r>
    </w:p>
    <w:p w14:paraId="00000026" w14:textId="77777777" w:rsidR="003F62A0" w:rsidRDefault="00000000">
      <w:pPr>
        <w:ind w:left="360"/>
      </w:pPr>
      <w:r>
        <w:rPr>
          <w:i/>
          <w:iCs/>
        </w:rPr>
        <w:t>Asset caps</w:t>
      </w:r>
      <w:r>
        <w:t xml:space="preserve"> limit how much money a person can </w:t>
      </w:r>
      <w:r>
        <w:rPr>
          <w:i/>
          <w:iCs/>
        </w:rPr>
        <w:t>have</w:t>
      </w:r>
      <w:r>
        <w:t xml:space="preserve">, not just earn. SSI has a $2,000 asset cap (for individuals). SSA can check a bank balance on </w:t>
      </w:r>
      <w:r>
        <w:rPr>
          <w:i/>
          <w:iCs/>
        </w:rPr>
        <w:t>any day of the month</w:t>
      </w:r>
      <w:r>
        <w:t xml:space="preserve"> and count it. If they happen to check it on a day when the person has more than $2,000, they can reduce the benefit. SSDI has no asset cap, but other programs (like Medicaid or housing subsidies) may. It’s important to pay attention to both kinds of caps.</w:t>
      </w:r>
    </w:p>
    <w:p w14:paraId="00000027" w14:textId="77777777" w:rsidR="003F62A0" w:rsidRDefault="00000000">
      <w:pPr>
        <w:pBdr>
          <w:top w:val="single" w:sz="4" w:space="1" w:color="000000"/>
          <w:left w:val="single" w:sz="4" w:space="4" w:color="000000"/>
          <w:bottom w:val="single" w:sz="4" w:space="1" w:color="000000"/>
          <w:right w:val="single" w:sz="4" w:space="4" w:color="000000"/>
        </w:pBdr>
        <w:ind w:left="360"/>
      </w:pPr>
      <w:r>
        <w:t>Example:</w:t>
      </w:r>
    </w:p>
    <w:p w14:paraId="00000028" w14:textId="77777777" w:rsidR="003F62A0" w:rsidRDefault="00000000">
      <w:pPr>
        <w:pBdr>
          <w:top w:val="single" w:sz="4" w:space="1" w:color="000000"/>
          <w:left w:val="single" w:sz="4" w:space="4" w:color="000000"/>
          <w:bottom w:val="single" w:sz="4" w:space="1" w:color="000000"/>
          <w:right w:val="single" w:sz="4" w:space="4" w:color="000000"/>
        </w:pBdr>
        <w:ind w:left="360"/>
      </w:pPr>
      <w:r>
        <w:t>A self-advocate gets their SSI or SSDI payment on the 1st of the month. Their work paycheck normally comes on the last day of the month. But because of a bank holiday, it shows up on the first also. For one day, the self-advocate’s bank balance rises above $2,000. SSA counts this as being over the asset limit, even though the money is moved into the person’s ABLE account the next day. Families should plan ahead and talk to the Research Lead about payment timing to help prevent this.</w:t>
      </w:r>
    </w:p>
    <w:p w14:paraId="00000029" w14:textId="77777777" w:rsidR="003F62A0" w:rsidRDefault="00000000">
      <w:pPr>
        <w:ind w:left="360"/>
        <w:rPr>
          <w:b/>
          <w:bCs/>
        </w:rPr>
      </w:pPr>
      <w:r>
        <w:rPr>
          <w:b/>
          <w:bCs/>
        </w:rPr>
        <w:lastRenderedPageBreak/>
        <w:t>Work Incentive Programs</w:t>
      </w:r>
    </w:p>
    <w:p w14:paraId="0000002A" w14:textId="77777777" w:rsidR="003F62A0" w:rsidRDefault="00000000">
      <w:pPr>
        <w:ind w:left="360"/>
      </w:pPr>
      <w:r>
        <w:t>Most work on research programs is short-term. But what if your loved one gets an offer of long-term employment? It can be scary to think about your loved one losing SSI or SSDI because they work too much. Work incentive programs help people with disabilities to earn money while keeping some or all of their benefits. The most common program is called Ticket to Work (TTW). It helps people with disabilities safely test working while getting SSI or SSDI. If your loved one becomes an employee, the employer may provide extra support. SSA can count this support as a “subsidy,” which means only part of the person’s wages count toward SGA.</w:t>
      </w:r>
    </w:p>
    <w:p w14:paraId="0000002B" w14:textId="77777777" w:rsidR="003F62A0" w:rsidRDefault="00000000">
      <w:pPr>
        <w:ind w:left="360"/>
      </w:pPr>
      <w:r>
        <w:t xml:space="preserve">All of these programs can be confusing. They are hard to navigate. That’s why finding a WIPA and CWIC to help is so important. First, they will help the self-advocate get a Benefits Planning Query (BPQY). This is an official document from the SSA. It lists your loved one’s current benefits and work history. The CWIC will use it to help your loved one plan for longer-term work. </w:t>
      </w:r>
    </w:p>
    <w:p w14:paraId="0000002C" w14:textId="77777777" w:rsidR="003F62A0" w:rsidRDefault="00000000">
      <w:pPr>
        <w:pBdr>
          <w:top w:val="single" w:sz="4" w:space="1" w:color="000000"/>
          <w:left w:val="single" w:sz="4" w:space="4" w:color="000000"/>
          <w:bottom w:val="single" w:sz="4" w:space="1" w:color="000000"/>
          <w:right w:val="single" w:sz="4" w:space="4" w:color="000000"/>
        </w:pBdr>
        <w:ind w:left="360"/>
      </w:pPr>
      <w:r>
        <w:rPr>
          <w:b/>
          <w:bCs/>
        </w:rPr>
        <w:t>Example:</w:t>
      </w:r>
    </w:p>
    <w:p w14:paraId="0000002D" w14:textId="77777777" w:rsidR="003F62A0" w:rsidRDefault="00000000">
      <w:pPr>
        <w:pBdr>
          <w:top w:val="single" w:sz="4" w:space="1" w:color="000000"/>
          <w:left w:val="single" w:sz="4" w:space="4" w:color="000000"/>
          <w:bottom w:val="single" w:sz="4" w:space="1" w:color="000000"/>
          <w:right w:val="single" w:sz="4" w:space="4" w:color="000000"/>
        </w:pBdr>
        <w:ind w:left="360"/>
      </w:pPr>
      <w:r>
        <w:t xml:space="preserve">A self-advocate wants to work more hours but is afraid of losing SSDI. Their CWIC explains that they can use a “Trial Work Period.” The person can earn as much as they want for several months without losing benefits. The CWIC helps the self-advocate get their BPQY. It shows how many Trial Work Period months they have already </w:t>
      </w:r>
      <w:proofErr w:type="gramStart"/>
      <w:r>
        <w:t>used</w:t>
      </w:r>
      <w:proofErr w:type="gramEnd"/>
      <w:r>
        <w:t>. They help the self-advocate plan ahead, so they don’t use up their Trial Work Period too quickly.</w:t>
      </w:r>
    </w:p>
    <w:p w14:paraId="0000002E" w14:textId="77777777" w:rsidR="003F62A0" w:rsidRDefault="00000000">
      <w:pPr>
        <w:pStyle w:val="Heading2"/>
      </w:pPr>
      <w:r>
        <w:t>Who Should I Talk To?</w:t>
      </w:r>
    </w:p>
    <w:p w14:paraId="0000002F" w14:textId="77777777" w:rsidR="003F62A0" w:rsidRDefault="00000000" w:rsidP="001F4753">
      <w:pPr>
        <w:pStyle w:val="Heading3"/>
        <w:ind w:left="0" w:firstLine="360"/>
      </w:pPr>
      <w:r>
        <w:t>Your Loved One</w:t>
      </w:r>
    </w:p>
    <w:p w14:paraId="00000030" w14:textId="77777777" w:rsidR="003F62A0" w:rsidRDefault="00000000">
      <w:pPr>
        <w:ind w:left="360"/>
      </w:pPr>
      <w:r>
        <w:t>They should be part of every conversation about benefits and work. Encourage them to ask questions and make decisions with support.</w:t>
      </w:r>
    </w:p>
    <w:p w14:paraId="00000031" w14:textId="77777777" w:rsidR="003F62A0" w:rsidRDefault="00000000" w:rsidP="001F4753">
      <w:pPr>
        <w:pStyle w:val="Heading3"/>
        <w:ind w:left="0" w:firstLine="360"/>
      </w:pPr>
      <w:r>
        <w:t>Research Lead or Employer</w:t>
      </w:r>
    </w:p>
    <w:p w14:paraId="00000032" w14:textId="77777777" w:rsidR="003F62A0" w:rsidRDefault="00000000">
      <w:pPr>
        <w:ind w:left="360"/>
      </w:pPr>
      <w:r>
        <w:t>Talk about how pay is scheduled and reported. Ask for flexibility if needed to protect benefits.</w:t>
      </w:r>
    </w:p>
    <w:p w14:paraId="00000033" w14:textId="77777777" w:rsidR="003F62A0" w:rsidRDefault="00000000" w:rsidP="001F4753">
      <w:pPr>
        <w:pStyle w:val="Heading3"/>
        <w:ind w:left="0" w:firstLine="360"/>
      </w:pPr>
      <w:r>
        <w:t>CWIC (Community Work Incentives Coordinator)</w:t>
      </w:r>
    </w:p>
    <w:p w14:paraId="00000034" w14:textId="77777777" w:rsidR="003F62A0" w:rsidRDefault="00000000">
      <w:pPr>
        <w:ind w:left="360"/>
      </w:pPr>
      <w:r>
        <w:t xml:space="preserve">They are the best source of advice about how income affects benefits. CWICs do not work for the SSA. They work for community agencies that receive SSA funding through the WIPA program. Your loved one is their client. Find a CWIC through the SSA website: https://www.ssa.gov/work/WIPA.html . Or use the Ticket to Work Helpline at 866-968-7842 (voice) or 866-833-2967 (TTY). </w:t>
      </w:r>
    </w:p>
    <w:p w14:paraId="00000035" w14:textId="77777777" w:rsidR="003F62A0" w:rsidRDefault="00000000" w:rsidP="001F4753">
      <w:pPr>
        <w:pStyle w:val="Heading3"/>
        <w:ind w:left="0" w:firstLine="360"/>
      </w:pPr>
      <w:r>
        <w:lastRenderedPageBreak/>
        <w:t>Service Coordinator or Case Manager</w:t>
      </w:r>
    </w:p>
    <w:p w14:paraId="00000036" w14:textId="77777777" w:rsidR="003F62A0" w:rsidRDefault="00000000">
      <w:pPr>
        <w:ind w:left="360"/>
      </w:pPr>
      <w:r>
        <w:t>Your loved one may have a case manager through your state’s IDD authority. They can help connect you to local Social Security offices, CWICs, or other programs.</w:t>
      </w:r>
    </w:p>
    <w:p w14:paraId="00000037" w14:textId="77777777" w:rsidR="003F62A0" w:rsidRDefault="00000000">
      <w:pPr>
        <w:ind w:left="360"/>
      </w:pPr>
      <w:r>
        <w:rPr>
          <w:b/>
          <w:bCs/>
        </w:rPr>
        <w:t>Local Social Security Office</w:t>
      </w:r>
    </w:p>
    <w:p w14:paraId="00000038" w14:textId="77777777" w:rsidR="003F62A0" w:rsidRDefault="00000000">
      <w:pPr>
        <w:ind w:left="360"/>
      </w:pPr>
      <w:r>
        <w:t>You can report income, request a BPQY, or ask questions about your loved one’s specific benefits. Find your local office here: https://www.ssa.gov/locator/.</w:t>
      </w:r>
    </w:p>
    <w:p w14:paraId="5BF6DDBE" w14:textId="77777777" w:rsidR="002A3BAA" w:rsidRDefault="002A3BAA" w:rsidP="002A3BAA">
      <w:pPr>
        <w:pStyle w:val="Heading2"/>
      </w:pPr>
      <w:r>
        <w:t>For More Information</w:t>
      </w:r>
    </w:p>
    <w:p w14:paraId="28A596D8" w14:textId="77777777" w:rsidR="002A3BAA" w:rsidRPr="004B3D34" w:rsidRDefault="002A3BAA" w:rsidP="002A3BAA">
      <w:r>
        <w:t>If you still have questions or concerns, you may find one or more of these helpful:</w:t>
      </w:r>
    </w:p>
    <w:p w14:paraId="0000003B" w14:textId="7BBEBD48" w:rsidR="003F62A0" w:rsidRPr="002A3BAA" w:rsidRDefault="00000000" w:rsidP="002A3BAA">
      <w:pPr>
        <w:pStyle w:val="ListParagraph"/>
        <w:numPr>
          <w:ilvl w:val="0"/>
          <w:numId w:val="3"/>
        </w:numPr>
      </w:pPr>
      <w:r w:rsidRPr="002A3BAA">
        <w:t>SSA 05-10095, Working While Disabled: How We Can Help</w:t>
      </w:r>
      <w:r w:rsidR="002A3BAA">
        <w:t xml:space="preserve"> (</w:t>
      </w:r>
      <w:r w:rsidRPr="002A3BAA">
        <w:t>A</w:t>
      </w:r>
      <w:r w:rsidR="002A3BAA">
        <w:t xml:space="preserve">n SSA </w:t>
      </w:r>
      <w:r w:rsidRPr="002A3BAA">
        <w:t xml:space="preserve">publication describing some of the rules for working with a disability. Get it online here: </w:t>
      </w:r>
      <w:hyperlink r:id="rId14">
        <w:r w:rsidR="003F62A0" w:rsidRPr="002A3BAA">
          <w:rPr>
            <w:color w:val="1155CC"/>
            <w:u w:val="single"/>
          </w:rPr>
          <w:t>https://www.ssa.gov/pubs/EN-05-10095.pdf</w:t>
        </w:r>
      </w:hyperlink>
      <w:r w:rsidR="002A3BAA">
        <w:t>.)</w:t>
      </w:r>
    </w:p>
    <w:p w14:paraId="0000003D" w14:textId="25D4FF94" w:rsidR="003F62A0" w:rsidRDefault="00000000" w:rsidP="002A3BAA">
      <w:pPr>
        <w:pStyle w:val="ListParagraph"/>
        <w:numPr>
          <w:ilvl w:val="0"/>
          <w:numId w:val="3"/>
        </w:numPr>
      </w:pPr>
      <w:r w:rsidRPr="002A3BAA">
        <w:t>SSA Red Book</w:t>
      </w:r>
      <w:r w:rsidR="002A3BAA">
        <w:t xml:space="preserve"> (An SSA publication of rules and programs related to work and disability benefits. Get it online here: </w:t>
      </w:r>
      <w:hyperlink r:id="rId15">
        <w:r w:rsidR="003F62A0" w:rsidRPr="002A3BAA">
          <w:rPr>
            <w:color w:val="467886"/>
            <w:u w:val="single"/>
          </w:rPr>
          <w:t>www.ssa.gov/redbook</w:t>
        </w:r>
      </w:hyperlink>
      <w:r>
        <w:t>.</w:t>
      </w:r>
      <w:r w:rsidR="002A3BAA">
        <w:t>)</w:t>
      </w:r>
    </w:p>
    <w:p w14:paraId="2A5D073D" w14:textId="77777777" w:rsidR="002A3BAA" w:rsidRPr="004B3D34" w:rsidRDefault="002A3BAA" w:rsidP="002A3BAA">
      <w:pPr>
        <w:pStyle w:val="ListParagraph"/>
        <w:numPr>
          <w:ilvl w:val="0"/>
          <w:numId w:val="2"/>
        </w:numPr>
        <w:ind w:left="360"/>
      </w:pPr>
      <w:hyperlink r:id="rId16" w:history="1">
        <w:r w:rsidRPr="004B3D34">
          <w:rPr>
            <w:rStyle w:val="Hyperlink"/>
          </w:rPr>
          <w:t>Free Online Participatory Action Research Courses</w:t>
        </w:r>
      </w:hyperlink>
      <w:r w:rsidRPr="004B3D34">
        <w:t xml:space="preserve"> (Self-Advocate Network Academy)</w:t>
      </w:r>
    </w:p>
    <w:p w14:paraId="00000048" w14:textId="63720575" w:rsidR="003F62A0" w:rsidRDefault="002A3BAA" w:rsidP="002A3BAA">
      <w:pPr>
        <w:pStyle w:val="ListParagraph"/>
        <w:numPr>
          <w:ilvl w:val="0"/>
          <w:numId w:val="2"/>
        </w:numPr>
        <w:ind w:left="360"/>
      </w:pPr>
      <w:hyperlink r:id="rId17" w:history="1">
        <w:r w:rsidRPr="004B3D34">
          <w:rPr>
            <w:rStyle w:val="Hyperlink"/>
          </w:rPr>
          <w:t>PAR Resource Hub</w:t>
        </w:r>
      </w:hyperlink>
      <w:r w:rsidRPr="004B3D34">
        <w:t xml:space="preserve"> (videos, learning games, </w:t>
      </w:r>
      <w:r>
        <w:t>blog posts, and more</w:t>
      </w:r>
      <w:r w:rsidRPr="004B3D34">
        <w:t>)</w:t>
      </w:r>
    </w:p>
    <w:sectPr w:rsidR="003F62A0">
      <w:headerReference w:type="default" r:id="rId18"/>
      <w:footerReference w:type="default" r:id="rId1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84F69" w14:textId="77777777" w:rsidR="00CD7AC3" w:rsidRDefault="00CD7AC3">
      <w:pPr>
        <w:spacing w:after="0" w:line="240" w:lineRule="auto"/>
      </w:pPr>
      <w:r>
        <w:separator/>
      </w:r>
    </w:p>
  </w:endnote>
  <w:endnote w:type="continuationSeparator" w:id="0">
    <w:p w14:paraId="291B4D25" w14:textId="77777777" w:rsidR="00CD7AC3" w:rsidRDefault="00CD7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embedRegular r:id="rId1" w:fontKey="{29FF9A8E-D7D3-44F1-BA2A-08CAF8170446}"/>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embedRegular r:id="rId2" w:fontKey="{DB78520C-E4E5-42CC-9069-F3B83FF50D33}"/>
    <w:embedBold r:id="rId3" w:fontKey="{DC26793D-5479-44DB-B74E-4A4C256CF2F2}"/>
    <w:embedItalic r:id="rId4" w:fontKey="{46344759-42AB-4C26-B597-DE28ADABABF8}"/>
  </w:font>
  <w:font w:name="Times New Roman">
    <w:panose1 w:val="02020603050405020304"/>
    <w:charset w:val="00"/>
    <w:family w:val="roman"/>
    <w:pitch w:val="variable"/>
    <w:sig w:usb0="E0002EFF" w:usb1="C000785B" w:usb2="00000009" w:usb3="00000000" w:csb0="000001FF" w:csb1="00000000"/>
  </w:font>
  <w:font w:name="Play">
    <w:charset w:val="00"/>
    <w:family w:val="auto"/>
    <w:pitch w:val="default"/>
    <w:embedRegular r:id="rId5" w:fontKey="{361BCB96-DB53-447C-8BCA-6F1C2502E8C7}"/>
  </w:font>
  <w:font w:name="Aptos Display">
    <w:charset w:val="00"/>
    <w:family w:val="swiss"/>
    <w:pitch w:val="variable"/>
    <w:sig w:usb0="20000287" w:usb1="00000003" w:usb2="00000000" w:usb3="00000000" w:csb0="0000019F" w:csb1="00000000"/>
    <w:embedRegular r:id="rId6" w:fontKey="{999CB51D-F660-4F3F-BFD0-83726FE1ABFC}"/>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B" w14:textId="5A548AA6" w:rsidR="003F62A0" w:rsidRDefault="00000000">
    <w:pPr>
      <w:pBdr>
        <w:top w:val="single" w:sz="4" w:space="1" w:color="000000"/>
        <w:left w:val="nil"/>
        <w:bottom w:val="nil"/>
        <w:right w:val="nil"/>
        <w:between w:val="nil"/>
      </w:pBdr>
      <w:tabs>
        <w:tab w:val="center" w:pos="4680"/>
        <w:tab w:val="right" w:pos="9360"/>
      </w:tabs>
      <w:spacing w:after="0" w:line="240" w:lineRule="auto"/>
      <w:rPr>
        <w:i/>
        <w:iCs/>
        <w:color w:val="000000"/>
      </w:rPr>
    </w:pPr>
    <w:r>
      <w:rPr>
        <w:i/>
        <w:iCs/>
        <w:color w:val="000000"/>
      </w:rPr>
      <w:t>Strategic Education Solutions</w:t>
    </w:r>
    <w:r>
      <w:rPr>
        <w:i/>
        <w:iCs/>
        <w:color w:val="000000"/>
      </w:rPr>
      <w:tab/>
      <w:t xml:space="preserve">Page </w:t>
    </w:r>
    <w:r>
      <w:rPr>
        <w:i/>
        <w:iCs/>
        <w:color w:val="000000"/>
      </w:rPr>
      <w:fldChar w:fldCharType="begin"/>
    </w:r>
    <w:r>
      <w:rPr>
        <w:i/>
        <w:iCs/>
        <w:color w:val="000000"/>
      </w:rPr>
      <w:instrText>PAGE</w:instrText>
    </w:r>
    <w:r>
      <w:rPr>
        <w:i/>
        <w:iCs/>
        <w:color w:val="000000"/>
      </w:rPr>
      <w:fldChar w:fldCharType="separate"/>
    </w:r>
    <w:r w:rsidR="002A3BAA">
      <w:rPr>
        <w:i/>
        <w:iCs/>
        <w:noProof/>
        <w:color w:val="000000"/>
      </w:rPr>
      <w:t>1</w:t>
    </w:r>
    <w:r>
      <w:rPr>
        <w:i/>
        <w:iCs/>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46AAB" w14:textId="77777777" w:rsidR="00CD7AC3" w:rsidRDefault="00CD7AC3">
      <w:pPr>
        <w:spacing w:after="0" w:line="240" w:lineRule="auto"/>
      </w:pPr>
      <w:r>
        <w:separator/>
      </w:r>
    </w:p>
  </w:footnote>
  <w:footnote w:type="continuationSeparator" w:id="0">
    <w:p w14:paraId="5A2A65E9" w14:textId="77777777" w:rsidR="00CD7AC3" w:rsidRDefault="00CD7A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9" w14:textId="74FF211F" w:rsidR="003F62A0" w:rsidRDefault="00000000">
    <w:pPr>
      <w:pBdr>
        <w:top w:val="nil"/>
        <w:left w:val="nil"/>
        <w:bottom w:val="single" w:sz="4" w:space="1" w:color="000000"/>
        <w:right w:val="nil"/>
        <w:between w:val="nil"/>
      </w:pBdr>
      <w:tabs>
        <w:tab w:val="right" w:pos="9360"/>
      </w:tabs>
      <w:spacing w:after="0" w:line="240" w:lineRule="auto"/>
      <w:rPr>
        <w:b/>
        <w:bCs/>
        <w:color w:val="000000"/>
      </w:rPr>
    </w:pPr>
    <w:r>
      <w:rPr>
        <w:b/>
        <w:bCs/>
        <w:color w:val="000000"/>
      </w:rPr>
      <w:t>Participatory Action Research</w:t>
    </w:r>
    <w:r>
      <w:rPr>
        <w:b/>
        <w:bCs/>
        <w:color w:val="000000"/>
      </w:rPr>
      <w:tab/>
    </w:r>
    <w:r w:rsidR="001A01B7">
      <w:rPr>
        <w:b/>
        <w:bCs/>
        <w:color w:val="000000"/>
      </w:rPr>
      <w:t>A Closer Look</w:t>
    </w:r>
  </w:p>
  <w:p w14:paraId="0000004A" w14:textId="77777777" w:rsidR="003F62A0" w:rsidRDefault="003F62A0">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A65D9"/>
    <w:multiLevelType w:val="multilevel"/>
    <w:tmpl w:val="F3E405C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4EF54C85"/>
    <w:multiLevelType w:val="multilevel"/>
    <w:tmpl w:val="F3E40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7EC64EF7"/>
    <w:multiLevelType w:val="multilevel"/>
    <w:tmpl w:val="412CC1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01138027">
    <w:abstractNumId w:val="2"/>
  </w:num>
  <w:num w:numId="2" w16cid:durableId="839783038">
    <w:abstractNumId w:val="0"/>
  </w:num>
  <w:num w:numId="3" w16cid:durableId="890581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2A0"/>
    <w:rsid w:val="00110C5B"/>
    <w:rsid w:val="001A01B7"/>
    <w:rsid w:val="001F4753"/>
    <w:rsid w:val="002A3BAA"/>
    <w:rsid w:val="003E0049"/>
    <w:rsid w:val="003F62A0"/>
    <w:rsid w:val="008C2676"/>
    <w:rsid w:val="00C5554C"/>
    <w:rsid w:val="00CD7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8A79E"/>
  <w15:docId w15:val="{1B4AF925-F25B-46F1-98E1-D2E9E150F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after="240" w:line="259" w:lineRule="auto"/>
      <w:outlineLvl w:val="0"/>
    </w:pPr>
    <w:rPr>
      <w:b/>
      <w:bCs/>
      <w:sz w:val="36"/>
      <w:szCs w:val="36"/>
    </w:rPr>
  </w:style>
  <w:style w:type="paragraph" w:styleId="Heading2">
    <w:name w:val="heading 2"/>
    <w:basedOn w:val="Normal"/>
    <w:next w:val="Normal"/>
    <w:link w:val="Heading2Char"/>
    <w:uiPriority w:val="9"/>
    <w:unhideWhenUsed/>
    <w:qFormat/>
    <w:pPr>
      <w:keepNext/>
      <w:keepLines/>
      <w:outlineLvl w:val="1"/>
    </w:pPr>
    <w:rPr>
      <w:sz w:val="28"/>
      <w:szCs w:val="28"/>
    </w:rPr>
  </w:style>
  <w:style w:type="paragraph" w:styleId="Heading3">
    <w:name w:val="heading 3"/>
    <w:basedOn w:val="Normal"/>
    <w:next w:val="Normal"/>
    <w:link w:val="Heading3Char"/>
    <w:uiPriority w:val="9"/>
    <w:unhideWhenUsed/>
    <w:qFormat/>
    <w:pPr>
      <w:spacing w:line="240" w:lineRule="auto"/>
      <w:ind w:left="360"/>
      <w:outlineLvl w:val="2"/>
    </w:pPr>
    <w:rPr>
      <w:b/>
      <w:bCs/>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semiHidden/>
    <w:unhideWhenUsed/>
    <w:qFormat/>
    <w:rsid w:val="00F65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table" w:customStyle="1" w:styleId="TableNormal1">
    <w:name w:val="TableNormal"/>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313FF2"/>
    <w:rPr>
      <w:rFonts w:ascii="Aptos" w:eastAsiaTheme="majorEastAsia" w:hAnsi="Aptos" w:cstheme="majorBidi"/>
      <w:b/>
      <w:sz w:val="36"/>
      <w:szCs w:val="32"/>
    </w:rPr>
  </w:style>
  <w:style w:type="character" w:customStyle="1" w:styleId="Heading2Char">
    <w:name w:val="Heading 2 Char"/>
    <w:basedOn w:val="DefaultParagraphFont"/>
    <w:link w:val="Heading2"/>
    <w:uiPriority w:val="9"/>
    <w:rsid w:val="00074D6F"/>
    <w:rPr>
      <w:rFonts w:ascii="Aptos" w:eastAsiaTheme="majorEastAsia" w:hAnsi="Aptos" w:cstheme="majorBidi"/>
      <w:sz w:val="28"/>
      <w:szCs w:val="26"/>
    </w:rPr>
  </w:style>
  <w:style w:type="character" w:customStyle="1" w:styleId="Heading3Char">
    <w:name w:val="Heading 3 Char"/>
    <w:basedOn w:val="DefaultParagraphFont"/>
    <w:link w:val="Heading3"/>
    <w:uiPriority w:val="9"/>
    <w:rsid w:val="00074D6F"/>
    <w:rPr>
      <w:rFonts w:ascii="Aptos" w:eastAsia="Times New Roman" w:hAnsi="Aptos" w:cs="Times New Roman"/>
      <w:b/>
      <w:bCs/>
      <w:sz w:val="24"/>
      <w:szCs w:val="27"/>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kern w:val="0"/>
      <w:sz w:val="24"/>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kern w:val="0"/>
      <w:sz w:val="24"/>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kern w:val="0"/>
      <w:sz w:val="24"/>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kern w:val="0"/>
      <w:sz w:val="24"/>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kern w:val="0"/>
      <w:sz w:val="24"/>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kern w:val="0"/>
      <w:sz w:val="24"/>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kern w:val="0"/>
      <w:sz w:val="28"/>
      <w:szCs w:val="28"/>
    </w:rPr>
  </w:style>
  <w:style w:type="paragraph" w:styleId="Quote">
    <w:name w:val="Quote"/>
    <w:basedOn w:val="Normal"/>
    <w:next w:val="Normal"/>
    <w:link w:val="QuoteChar"/>
    <w:uiPriority w:val="29"/>
    <w:qFormat/>
    <w:rsid w:val="00F65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F23"/>
    <w:rPr>
      <w:rFonts w:ascii="Aptos" w:hAnsi="Aptos"/>
      <w:i/>
      <w:iCs/>
      <w:color w:val="404040" w:themeColor="text1" w:themeTint="BF"/>
      <w:kern w:val="0"/>
      <w:sz w:val="24"/>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rFonts w:ascii="Aptos" w:hAnsi="Aptos"/>
      <w:i/>
      <w:iCs/>
      <w:color w:val="0F4761" w:themeColor="accent1" w:themeShade="BF"/>
      <w:kern w:val="0"/>
      <w:sz w:val="24"/>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Header">
    <w:name w:val="header"/>
    <w:basedOn w:val="Normal"/>
    <w:link w:val="HeaderChar"/>
    <w:uiPriority w:val="99"/>
    <w:unhideWhenUsed/>
    <w:rsid w:val="00F65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F23"/>
    <w:rPr>
      <w:rFonts w:ascii="Aptos" w:hAnsi="Aptos"/>
      <w:kern w:val="0"/>
      <w:sz w:val="24"/>
    </w:rPr>
  </w:style>
  <w:style w:type="paragraph" w:styleId="Footer">
    <w:name w:val="footer"/>
    <w:basedOn w:val="Normal"/>
    <w:link w:val="FooterChar"/>
    <w:uiPriority w:val="99"/>
    <w:unhideWhenUsed/>
    <w:rsid w:val="00F65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F23"/>
    <w:rPr>
      <w:rFonts w:ascii="Aptos" w:hAnsi="Aptos"/>
      <w:kern w:val="0"/>
      <w:sz w:val="24"/>
    </w:rPr>
  </w:style>
  <w:style w:type="character" w:styleId="Hyperlink">
    <w:name w:val="Hyperlink"/>
    <w:basedOn w:val="DefaultParagraphFont"/>
    <w:uiPriority w:val="99"/>
    <w:unhideWhenUsed/>
    <w:rsid w:val="00DE7729"/>
    <w:rPr>
      <w:color w:val="467886" w:themeColor="hyperlink"/>
      <w:u w:val="single"/>
    </w:rPr>
  </w:style>
  <w:style w:type="character" w:styleId="UnresolvedMention">
    <w:name w:val="Unresolved Mention"/>
    <w:basedOn w:val="DefaultParagraphFont"/>
    <w:uiPriority w:val="99"/>
    <w:semiHidden/>
    <w:unhideWhenUsed/>
    <w:rsid w:val="00DE7729"/>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973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13259"/>
    <w:rPr>
      <w:color w:val="96607D" w:themeColor="followedHyperlink"/>
      <w:u w:val="single"/>
    </w:rPr>
  </w:style>
  <w:style w:type="paragraph" w:styleId="NormalWeb">
    <w:name w:val="Normal (Web)"/>
    <w:basedOn w:val="Normal"/>
    <w:uiPriority w:val="99"/>
    <w:semiHidden/>
    <w:unhideWhenUsed/>
    <w:rsid w:val="00F4660E"/>
    <w:rPr>
      <w:rFonts w:ascii="Times New Roman" w:hAnsi="Times New Roman" w:cs="Times New Roman"/>
    </w:rPr>
  </w:style>
  <w:style w:type="paragraph" w:styleId="Subtitle">
    <w:name w:val="Subtitle"/>
    <w:basedOn w:val="Normal"/>
    <w:next w:val="Normal"/>
    <w:link w:val="SubtitleChar"/>
    <w:uiPriority w:val="11"/>
    <w:qFormat/>
    <w:pPr>
      <w:spacing w:after="160"/>
    </w:pPr>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ssa.gov/ssi/reporting/wage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elfadvocatenetwork.com" TargetMode="External"/><Relationship Id="rId17" Type="http://schemas.openxmlformats.org/officeDocument/2006/relationships/hyperlink" Target="https://selfadvocatenetwork.com/resources/participatory-research/" TargetMode="External"/><Relationship Id="rId2" Type="http://schemas.openxmlformats.org/officeDocument/2006/relationships/numbering" Target="numbering.xml"/><Relationship Id="rId16" Type="http://schemas.openxmlformats.org/officeDocument/2006/relationships/hyperlink" Target="https://sanetwork.learnworlds.com/participatory-action-research-self-advocate-cours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urrow@strategicedsolutions.com" TargetMode="External"/><Relationship Id="rId5" Type="http://schemas.openxmlformats.org/officeDocument/2006/relationships/webSettings" Target="webSettings.xml"/><Relationship Id="rId15" Type="http://schemas.openxmlformats.org/officeDocument/2006/relationships/hyperlink" Target="https://www.ssa.gov/redbook"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elfadvocatenetwork.com/" TargetMode="External"/><Relationship Id="rId14" Type="http://schemas.openxmlformats.org/officeDocument/2006/relationships/hyperlink" Target="https://www.ssa.gov/pubs/EN-05-10095.pdf"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LbuIarlV/U7FHvc65QgB3dYOw==">CgMxLjA4AHIhMUNZWGc0SDcxbGk5RDNsTTNTQlB3Vk8ySkJwcnF2MXlU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1652</Words>
  <Characters>9420</Characters>
  <Application>Microsoft Office Word</Application>
  <DocSecurity>0</DocSecurity>
  <Lines>78</Lines>
  <Paragraphs>22</Paragraphs>
  <ScaleCrop>false</ScaleCrop>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Burrow</dc:creator>
  <cp:lastModifiedBy>Cynthia Burrow</cp:lastModifiedBy>
  <cp:revision>4</cp:revision>
  <dcterms:created xsi:type="dcterms:W3CDTF">2025-11-14T17:51:00Z</dcterms:created>
  <dcterms:modified xsi:type="dcterms:W3CDTF">2026-02-06T19:55:00Z</dcterms:modified>
</cp:coreProperties>
</file>