
<file path=[Content_Types].xml><?xml version="1.0" encoding="utf-8"?>
<Types xmlns="http://schemas.openxmlformats.org/package/2006/content-types">
  <Default Extension="jpg" ContentType="image/jpeg"/>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1C95F" w14:textId="77777777" w:rsidR="002E6188" w:rsidRDefault="002E6188" w:rsidP="002E6188">
      <w:pPr>
        <w:jc w:val="center"/>
      </w:pPr>
    </w:p>
    <w:p w14:paraId="27C6E45B" w14:textId="77777777" w:rsidR="002E6188" w:rsidRDefault="002E6188" w:rsidP="002E6188">
      <w:pPr>
        <w:jc w:val="center"/>
      </w:pPr>
    </w:p>
    <w:p w14:paraId="14333C4C" w14:textId="77777777" w:rsidR="002E6188" w:rsidRDefault="002E6188" w:rsidP="002E6188">
      <w:pPr>
        <w:jc w:val="center"/>
      </w:pPr>
      <w:r>
        <w:rPr>
          <w:noProof/>
          <w14:ligatures w14:val="standardContextual"/>
        </w:rPr>
        <w:drawing>
          <wp:inline distT="0" distB="0" distL="0" distR="0" wp14:anchorId="18234DF4" wp14:editId="1D723840">
            <wp:extent cx="2257425" cy="2000250"/>
            <wp:effectExtent l="0" t="0" r="9525" b="0"/>
            <wp:docPr id="3298072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807239" name="Picture 329807239"/>
                    <pic:cNvPicPr/>
                  </pic:nvPicPr>
                  <pic:blipFill>
                    <a:blip r:embed="rId8">
                      <a:extLst>
                        <a:ext uri="{28A0092B-C50C-407E-A947-70E740481C1C}">
                          <a14:useLocalDpi xmlns:a14="http://schemas.microsoft.com/office/drawing/2010/main" val="0"/>
                        </a:ext>
                      </a:extLst>
                    </a:blip>
                    <a:stretch>
                      <a:fillRect/>
                    </a:stretch>
                  </pic:blipFill>
                  <pic:spPr>
                    <a:xfrm>
                      <a:off x="0" y="0"/>
                      <a:ext cx="2257425" cy="2000250"/>
                    </a:xfrm>
                    <a:prstGeom prst="rect">
                      <a:avLst/>
                    </a:prstGeom>
                  </pic:spPr>
                </pic:pic>
              </a:graphicData>
            </a:graphic>
          </wp:inline>
        </w:drawing>
      </w:r>
    </w:p>
    <w:p w14:paraId="0C9CDCCB" w14:textId="77777777" w:rsidR="002E6188" w:rsidRDefault="002E6188" w:rsidP="002E6188">
      <w:pPr>
        <w:jc w:val="center"/>
      </w:pPr>
    </w:p>
    <w:p w14:paraId="78CF1F86" w14:textId="77777777" w:rsidR="002E6188" w:rsidRPr="00FA7087" w:rsidRDefault="002E6188" w:rsidP="002E6188">
      <w:pPr>
        <w:jc w:val="center"/>
        <w:rPr>
          <w:b/>
          <w:bCs/>
          <w:sz w:val="36"/>
          <w:szCs w:val="32"/>
        </w:rPr>
      </w:pPr>
      <w:r>
        <w:rPr>
          <w:b/>
          <w:bCs/>
          <w:sz w:val="36"/>
          <w:szCs w:val="32"/>
        </w:rPr>
        <w:t>Participatory Action Research for People with IDD</w:t>
      </w:r>
    </w:p>
    <w:p w14:paraId="3CF95855" w14:textId="025A1FEA" w:rsidR="002E6188" w:rsidRPr="00FA7087" w:rsidRDefault="002E6188" w:rsidP="002E6188">
      <w:pPr>
        <w:jc w:val="center"/>
        <w:rPr>
          <w:b/>
          <w:bCs/>
          <w:sz w:val="36"/>
          <w:szCs w:val="32"/>
        </w:rPr>
      </w:pPr>
      <w:r>
        <w:rPr>
          <w:b/>
          <w:bCs/>
          <w:sz w:val="36"/>
          <w:szCs w:val="32"/>
        </w:rPr>
        <w:t>A Closer Look:</w:t>
      </w:r>
      <w:r>
        <w:rPr>
          <w:b/>
          <w:bCs/>
          <w:sz w:val="36"/>
          <w:szCs w:val="32"/>
        </w:rPr>
        <w:t xml:space="preserve"> Getting Work Support</w:t>
      </w:r>
    </w:p>
    <w:p w14:paraId="44BE8A13" w14:textId="77777777" w:rsidR="002E6188" w:rsidRDefault="002E6188" w:rsidP="002E6188">
      <w:pPr>
        <w:jc w:val="center"/>
      </w:pPr>
    </w:p>
    <w:p w14:paraId="5CC3C288" w14:textId="77777777" w:rsidR="002E6188" w:rsidRDefault="002E6188" w:rsidP="002E6188">
      <w:pPr>
        <w:jc w:val="center"/>
      </w:pPr>
    </w:p>
    <w:p w14:paraId="5D0ACE1F" w14:textId="77777777" w:rsidR="002E6188" w:rsidRDefault="002E6188" w:rsidP="002E6188"/>
    <w:p w14:paraId="029258A0" w14:textId="77777777" w:rsidR="002E6188" w:rsidRDefault="002E6188" w:rsidP="002E6188"/>
    <w:p w14:paraId="435EB20A" w14:textId="77777777" w:rsidR="002E6188" w:rsidRDefault="002E6188" w:rsidP="002E6188"/>
    <w:p w14:paraId="22E10127" w14:textId="77777777" w:rsidR="002E6188" w:rsidRDefault="002E6188" w:rsidP="002E6188"/>
    <w:p w14:paraId="2CF605A4" w14:textId="77777777" w:rsidR="002E6188" w:rsidRDefault="002E6188" w:rsidP="002E6188"/>
    <w:p w14:paraId="75434190" w14:textId="77777777" w:rsidR="002E6188" w:rsidRDefault="002E6188" w:rsidP="002E6188">
      <w:r>
        <w:t>Logan Archer</w:t>
      </w:r>
    </w:p>
    <w:p w14:paraId="30371B1D" w14:textId="77777777" w:rsidR="002E6188" w:rsidRDefault="002E6188" w:rsidP="002E6188">
      <w:r>
        <w:t>Cynthia Burrow</w:t>
      </w:r>
    </w:p>
    <w:p w14:paraId="4D17ED4B" w14:textId="77777777" w:rsidR="002E6188" w:rsidRDefault="002E6188" w:rsidP="002E6188">
      <w:r>
        <w:t>James Meadours</w:t>
      </w:r>
    </w:p>
    <w:p w14:paraId="29F73435" w14:textId="77777777" w:rsidR="002E6188" w:rsidRDefault="002E6188" w:rsidP="002E6188">
      <w:r>
        <w:t>Ashley Sattler</w:t>
      </w:r>
    </w:p>
    <w:p w14:paraId="0B9AA68E" w14:textId="77777777" w:rsidR="002E6188" w:rsidRDefault="002E6188" w:rsidP="002E6188">
      <w:r>
        <w:t>Katie Sheffield</w:t>
      </w:r>
    </w:p>
    <w:p w14:paraId="46F44C22" w14:textId="77777777" w:rsidR="002E6188" w:rsidRDefault="002E6188" w:rsidP="002E6188">
      <w:r>
        <w:t>Marci Whiteman</w:t>
      </w:r>
    </w:p>
    <w:p w14:paraId="2519972F" w14:textId="77777777" w:rsidR="002E6188" w:rsidRDefault="002E6188" w:rsidP="002E6188"/>
    <w:p w14:paraId="61C9AFF4" w14:textId="77777777" w:rsidR="002E6188" w:rsidRDefault="002E6188" w:rsidP="002E6188">
      <w:pPr>
        <w:sectPr w:rsidR="002E6188" w:rsidSect="002E6188">
          <w:pgSz w:w="12240" w:h="15840"/>
          <w:pgMar w:top="1440" w:right="1440" w:bottom="1440" w:left="1440" w:header="720" w:footer="720" w:gutter="0"/>
          <w:cols w:space="720"/>
          <w:docGrid w:linePitch="360"/>
        </w:sectPr>
      </w:pPr>
      <w:r>
        <w:t>March 2026</w:t>
      </w:r>
    </w:p>
    <w:p w14:paraId="1170013B" w14:textId="77777777" w:rsidR="002E6188" w:rsidRDefault="002E6188" w:rsidP="002E6188">
      <w:pPr>
        <w:jc w:val="center"/>
        <w:rPr>
          <w:b/>
          <w:bCs/>
          <w:sz w:val="32"/>
          <w:szCs w:val="28"/>
        </w:rPr>
      </w:pPr>
    </w:p>
    <w:p w14:paraId="10EBE2E4" w14:textId="77777777" w:rsidR="002E6188" w:rsidRDefault="002E6188" w:rsidP="002E6188">
      <w:pPr>
        <w:jc w:val="center"/>
        <w:rPr>
          <w:b/>
          <w:bCs/>
          <w:sz w:val="32"/>
          <w:szCs w:val="28"/>
        </w:rPr>
      </w:pPr>
    </w:p>
    <w:p w14:paraId="446C0FFB" w14:textId="77777777" w:rsidR="002E6188" w:rsidRDefault="002E6188" w:rsidP="002E6188">
      <w:pPr>
        <w:jc w:val="center"/>
      </w:pPr>
      <w:r>
        <w:rPr>
          <w:noProof/>
          <w14:ligatures w14:val="standardContextual"/>
        </w:rPr>
        <w:drawing>
          <wp:inline distT="0" distB="0" distL="0" distR="0" wp14:anchorId="41E4A1FA" wp14:editId="7B26CC88">
            <wp:extent cx="2964180" cy="608670"/>
            <wp:effectExtent l="0" t="0" r="7620" b="1270"/>
            <wp:docPr id="1485516922" name="Picture 2" descr="A blue and green text on a black background&#10;&#10;AI-generated content may be incorrect.">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516922" name="Picture 2" descr="A blue and green text on a black background&#10;&#10;AI-generated content may be incorrect.">
                      <a:hlinkClick r:id="rId9"/>
                    </pic:cNvPr>
                    <pic:cNvPicPr/>
                  </pic:nvPicPr>
                  <pic:blipFill>
                    <a:blip r:embed="rId10" cstate="print">
                      <a:grayscl/>
                      <a:extLst>
                        <a:ext uri="{28A0092B-C50C-407E-A947-70E740481C1C}">
                          <a14:useLocalDpi xmlns:a14="http://schemas.microsoft.com/office/drawing/2010/main" val="0"/>
                        </a:ext>
                      </a:extLst>
                    </a:blip>
                    <a:stretch>
                      <a:fillRect/>
                    </a:stretch>
                  </pic:blipFill>
                  <pic:spPr>
                    <a:xfrm>
                      <a:off x="0" y="0"/>
                      <a:ext cx="3013633" cy="618825"/>
                    </a:xfrm>
                    <a:prstGeom prst="rect">
                      <a:avLst/>
                    </a:prstGeom>
                  </pic:spPr>
                </pic:pic>
              </a:graphicData>
            </a:graphic>
          </wp:inline>
        </w:drawing>
      </w:r>
    </w:p>
    <w:p w14:paraId="00ADF125" w14:textId="77777777" w:rsidR="002E6188" w:rsidRDefault="002E6188" w:rsidP="002E6188">
      <w:pPr>
        <w:jc w:val="center"/>
      </w:pPr>
    </w:p>
    <w:p w14:paraId="2C08CD91" w14:textId="77777777" w:rsidR="002E6188" w:rsidRDefault="002E6188" w:rsidP="002E6188">
      <w:pPr>
        <w:jc w:val="center"/>
      </w:pPr>
    </w:p>
    <w:p w14:paraId="68C30532" w14:textId="77777777" w:rsidR="002E6188" w:rsidRDefault="002E6188" w:rsidP="002E6188">
      <w:pPr>
        <w:jc w:val="center"/>
      </w:pPr>
    </w:p>
    <w:p w14:paraId="1CAB4C7C" w14:textId="77777777" w:rsidR="002E6188" w:rsidRDefault="002E6188" w:rsidP="002E6188">
      <w:pPr>
        <w:tabs>
          <w:tab w:val="right" w:pos="9270"/>
        </w:tabs>
        <w:rPr>
          <w:b/>
          <w:bCs/>
        </w:rPr>
      </w:pPr>
    </w:p>
    <w:p w14:paraId="72A1EFD6" w14:textId="77777777" w:rsidR="002E6188" w:rsidRPr="00057D6F" w:rsidRDefault="002E6188" w:rsidP="002E6188">
      <w:pPr>
        <w:tabs>
          <w:tab w:val="right" w:pos="9270"/>
        </w:tabs>
        <w:rPr>
          <w:b/>
          <w:bCs/>
        </w:rPr>
      </w:pPr>
      <w:r w:rsidRPr="00057D6F">
        <w:rPr>
          <w:b/>
          <w:bCs/>
        </w:rPr>
        <w:t>Authors</w:t>
      </w:r>
      <w:r>
        <w:rPr>
          <w:b/>
          <w:bCs/>
        </w:rPr>
        <w:tab/>
        <w:t>Reviewers</w:t>
      </w:r>
    </w:p>
    <w:p w14:paraId="497AC6D3" w14:textId="77777777" w:rsidR="002E6188" w:rsidRDefault="002E6188" w:rsidP="002E6188">
      <w:pPr>
        <w:tabs>
          <w:tab w:val="right" w:pos="9270"/>
        </w:tabs>
      </w:pPr>
      <w:r>
        <w:t>Logan Archer</w:t>
      </w:r>
      <w:r>
        <w:tab/>
        <w:t>Grace Bednar</w:t>
      </w:r>
    </w:p>
    <w:p w14:paraId="062A5DA7" w14:textId="77777777" w:rsidR="002E6188" w:rsidRDefault="002E6188" w:rsidP="002E6188">
      <w:pPr>
        <w:tabs>
          <w:tab w:val="right" w:pos="9270"/>
        </w:tabs>
      </w:pPr>
      <w:hyperlink r:id="rId11" w:history="1">
        <w:r w:rsidRPr="00057D6F">
          <w:rPr>
            <w:rStyle w:val="Hyperlink"/>
          </w:rPr>
          <w:t>Cynthia Burrow</w:t>
        </w:r>
      </w:hyperlink>
      <w:r>
        <w:tab/>
        <w:t>Lisa Sheffield</w:t>
      </w:r>
    </w:p>
    <w:p w14:paraId="225790B5" w14:textId="77777777" w:rsidR="002E6188" w:rsidRDefault="002E6188" w:rsidP="002E6188">
      <w:pPr>
        <w:tabs>
          <w:tab w:val="right" w:pos="9270"/>
        </w:tabs>
      </w:pPr>
      <w:r>
        <w:t>James Meadours</w:t>
      </w:r>
      <w:r>
        <w:tab/>
        <w:t>Vanessa Simmons</w:t>
      </w:r>
    </w:p>
    <w:p w14:paraId="14573CB5" w14:textId="77777777" w:rsidR="002E6188" w:rsidRDefault="002E6188" w:rsidP="002E6188">
      <w:pPr>
        <w:tabs>
          <w:tab w:val="right" w:pos="9270"/>
        </w:tabs>
      </w:pPr>
      <w:r>
        <w:t>Katie Sheffield</w:t>
      </w:r>
    </w:p>
    <w:p w14:paraId="71C0B422" w14:textId="77777777" w:rsidR="002E6188" w:rsidRDefault="002E6188" w:rsidP="002E6188">
      <w:pPr>
        <w:tabs>
          <w:tab w:val="right" w:pos="9270"/>
        </w:tabs>
      </w:pPr>
      <w:r>
        <w:t>Keith Wallace</w:t>
      </w:r>
    </w:p>
    <w:p w14:paraId="08CB6807" w14:textId="77777777" w:rsidR="002E6188" w:rsidRDefault="002E6188" w:rsidP="002E6188">
      <w:pPr>
        <w:tabs>
          <w:tab w:val="right" w:pos="9270"/>
        </w:tabs>
      </w:pPr>
      <w:r>
        <w:t>Marci Whiteman</w:t>
      </w:r>
    </w:p>
    <w:p w14:paraId="7E6288C4" w14:textId="77777777" w:rsidR="002E6188" w:rsidRDefault="002E6188" w:rsidP="002E6188"/>
    <w:p w14:paraId="2525B832" w14:textId="77777777" w:rsidR="002E6188" w:rsidRDefault="002E6188" w:rsidP="002E6188">
      <w:pPr>
        <w:jc w:val="center"/>
      </w:pPr>
      <w:r>
        <w:t>Learn more at:</w:t>
      </w:r>
    </w:p>
    <w:p w14:paraId="33182CB5" w14:textId="77777777" w:rsidR="002E6188" w:rsidRDefault="002E6188" w:rsidP="002E6188">
      <w:pPr>
        <w:jc w:val="center"/>
      </w:pPr>
      <w:hyperlink r:id="rId12" w:history="1">
        <w:r w:rsidRPr="00B70302">
          <w:rPr>
            <w:rStyle w:val="Hyperlink"/>
          </w:rPr>
          <w:t>http://www.selfadvocatenetwork.com</w:t>
        </w:r>
      </w:hyperlink>
    </w:p>
    <w:p w14:paraId="4177EDBA" w14:textId="77777777" w:rsidR="002E6188" w:rsidRPr="00057D6F" w:rsidRDefault="002E6188" w:rsidP="002E6188"/>
    <w:p w14:paraId="30E7C779" w14:textId="77777777" w:rsidR="002E6188" w:rsidRDefault="002E6188" w:rsidP="002E6188"/>
    <w:p w14:paraId="46DC2AB3" w14:textId="77777777" w:rsidR="002E6188" w:rsidRDefault="002E6188" w:rsidP="002E6188"/>
    <w:p w14:paraId="075EE248" w14:textId="77777777" w:rsidR="002E6188" w:rsidRDefault="002E6188" w:rsidP="002E6188"/>
    <w:p w14:paraId="5E1BA20C" w14:textId="77777777" w:rsidR="002E6188" w:rsidRDefault="002E6188" w:rsidP="002E6188">
      <w:pPr>
        <w:pBdr>
          <w:top w:val="single" w:sz="4" w:space="1" w:color="auto"/>
        </w:pBdr>
      </w:pPr>
    </w:p>
    <w:p w14:paraId="6524818C" w14:textId="77777777" w:rsidR="002E6188" w:rsidRPr="00FF6F91" w:rsidRDefault="002E6188" w:rsidP="002E6188">
      <w:r w:rsidRPr="00FF6F91">
        <w:t>This work is supported by the Texas Council for Developmental Disabilities through a grant from the U.S. Administration for Community Living (ACL), Department of Health and Human Services (HHS), Washington, D.C. 20201, with a 100% federal funding award totaling $6,161,072. Council efforts are those of the grantee and do not necessarily represent the official views of nor are endorsed by ACL, HHS, or the U.S. government.</w:t>
      </w:r>
    </w:p>
    <w:p w14:paraId="448AB3DF" w14:textId="77777777" w:rsidR="002E6188" w:rsidRPr="00FF6F91" w:rsidRDefault="002E6188" w:rsidP="002E6188">
      <w:pPr>
        <w:sectPr w:rsidR="002E6188" w:rsidRPr="00FF6F91" w:rsidSect="002E6188">
          <w:pgSz w:w="12240" w:h="15840"/>
          <w:pgMar w:top="1440" w:right="1440" w:bottom="1440" w:left="1440" w:header="720" w:footer="720" w:gutter="0"/>
          <w:pgNumType w:start="1"/>
          <w:cols w:space="720"/>
        </w:sectPr>
      </w:pPr>
    </w:p>
    <w:p w14:paraId="00000001" w14:textId="35046DB7" w:rsidR="00DF4EF5" w:rsidRDefault="002E6188">
      <w:pPr>
        <w:pStyle w:val="Heading1"/>
      </w:pPr>
      <w:r>
        <w:lastRenderedPageBreak/>
        <w:t>6. Getting Work Support</w:t>
      </w:r>
    </w:p>
    <w:p w14:paraId="00000002" w14:textId="77777777" w:rsidR="00DF4EF5" w:rsidRDefault="00000000">
      <w:pPr>
        <w:pStyle w:val="Heading2"/>
      </w:pPr>
      <w:r>
        <w:t>Why Is This Important?</w:t>
      </w:r>
    </w:p>
    <w:p w14:paraId="00000003" w14:textId="77777777" w:rsidR="00DF4EF5" w:rsidRDefault="00000000">
      <w:r>
        <w:t>Support people on a project help self-advocates succeed at work. Their role is to give work support only, not personal or family support. Families, caregivers, and researchers must be clear about what help the support person will and will not provide. They must be clear about when and how the self-advocate will communicate. Talking about boundaries may feel hard, but it keeps everyone safe, respected, and successful.</w:t>
      </w:r>
    </w:p>
    <w:p w14:paraId="00000004" w14:textId="77777777" w:rsidR="00DF4EF5" w:rsidRDefault="00000000">
      <w:pPr>
        <w:pStyle w:val="Heading2"/>
      </w:pPr>
      <w:r>
        <w:t>Important Words to Know</w:t>
      </w:r>
    </w:p>
    <w:p w14:paraId="00000005" w14:textId="77777777" w:rsidR="00DF4EF5" w:rsidRDefault="00000000" w:rsidP="005A492D">
      <w:pPr>
        <w:pStyle w:val="Heading3"/>
        <w:ind w:left="0" w:firstLine="360"/>
      </w:pPr>
      <w:r>
        <w:t>Work Support Person</w:t>
      </w:r>
    </w:p>
    <w:p w14:paraId="00000006" w14:textId="77777777" w:rsidR="00DF4EF5" w:rsidRDefault="00000000">
      <w:pPr>
        <w:ind w:left="360"/>
      </w:pPr>
      <w:r>
        <w:t>Someone who helps a person with a disability do their job on a project. They may provide job coaching, technical help, or other work-related support.</w:t>
      </w:r>
    </w:p>
    <w:p w14:paraId="621C7749" w14:textId="79190C06" w:rsidR="00C372E2" w:rsidRPr="00C372E2" w:rsidRDefault="00C372E2">
      <w:pPr>
        <w:ind w:left="360"/>
        <w:rPr>
          <w:b/>
          <w:bCs/>
        </w:rPr>
      </w:pPr>
      <w:r w:rsidRPr="00C372E2">
        <w:rPr>
          <w:b/>
          <w:bCs/>
        </w:rPr>
        <w:t>Boundaries</w:t>
      </w:r>
    </w:p>
    <w:p w14:paraId="739E377C" w14:textId="77777777" w:rsidR="00C372E2" w:rsidRPr="00C372E2" w:rsidRDefault="00C372E2" w:rsidP="00C372E2">
      <w:pPr>
        <w:ind w:left="360"/>
        <w:rPr>
          <w:lang w:val="en-US"/>
        </w:rPr>
      </w:pPr>
      <w:r w:rsidRPr="00C372E2">
        <w:rPr>
          <w:lang w:val="en-US"/>
        </w:rPr>
        <w:t>The ways people behave with others based on their relationship. Work boundaries may be different than family or social ones. Clear boundaries help people work well together.</w:t>
      </w:r>
    </w:p>
    <w:p w14:paraId="00000007" w14:textId="77777777" w:rsidR="00DF4EF5" w:rsidRDefault="00000000">
      <w:pPr>
        <w:pStyle w:val="Heading2"/>
      </w:pPr>
      <w:r>
        <w:t>What Do I Need to Know?</w:t>
      </w:r>
    </w:p>
    <w:p w14:paraId="00000008" w14:textId="77777777" w:rsidR="00DF4EF5" w:rsidRDefault="00000000" w:rsidP="005A492D">
      <w:pPr>
        <w:pStyle w:val="Heading3"/>
        <w:ind w:left="0" w:firstLine="360"/>
      </w:pPr>
      <w:r>
        <w:t>Work vs. Personal Support</w:t>
      </w:r>
    </w:p>
    <w:p w14:paraId="00000009" w14:textId="3D94E362" w:rsidR="00DF4EF5" w:rsidRDefault="00000000">
      <w:pPr>
        <w:ind w:left="360"/>
      </w:pPr>
      <w:r>
        <w:t>Your loved one is hired to work on a project for pay. The support person is there to help them do their job. The support person should not be asked to give personal or family support. This can be confusing</w:t>
      </w:r>
      <w:r w:rsidR="004E0263">
        <w:t>. S</w:t>
      </w:r>
      <w:r>
        <w:t>ometimes work and personal needs overlap. That’s why it is important to talk about what is and is not part of the job and to check in often.</w:t>
      </w:r>
    </w:p>
    <w:p w14:paraId="0000000A" w14:textId="47486C81" w:rsidR="00DF4EF5" w:rsidRDefault="00000000">
      <w:pPr>
        <w:pBdr>
          <w:top w:val="single" w:sz="4" w:space="1" w:color="000000"/>
          <w:left w:val="single" w:sz="4" w:space="4" w:color="000000"/>
          <w:bottom w:val="single" w:sz="4" w:space="1" w:color="000000"/>
          <w:right w:val="single" w:sz="4" w:space="4" w:color="000000"/>
        </w:pBdr>
        <w:ind w:left="360"/>
      </w:pPr>
      <w:r>
        <w:rPr>
          <w:i/>
        </w:rPr>
        <w:t>Example</w:t>
      </w:r>
      <w:r>
        <w:t xml:space="preserve">: A self-advocate is hired to work on a research project. They ask their work support person to talk with them to a benefits counselor about pay and social security benefits. This will ensure the self-advocate can work on the project. So it is appropriate for the support person to help. Later, the self-advocate asks the person to </w:t>
      </w:r>
      <w:r w:rsidR="005A492D">
        <w:t>take them shopping</w:t>
      </w:r>
      <w:r>
        <w:t>. That is not related to the project. So it is not something the work support person should do.</w:t>
      </w:r>
    </w:p>
    <w:p w14:paraId="2CC39DDF" w14:textId="77777777" w:rsidR="005A492D" w:rsidRDefault="005A492D" w:rsidP="005A492D">
      <w:pPr>
        <w:pStyle w:val="Heading3"/>
        <w:ind w:left="0" w:firstLine="360"/>
      </w:pPr>
      <w:r>
        <w:t>Open Communication</w:t>
      </w:r>
    </w:p>
    <w:p w14:paraId="678C4408" w14:textId="03DADBB4" w:rsidR="005A492D" w:rsidRDefault="005A492D" w:rsidP="005A492D">
      <w:pPr>
        <w:ind w:left="360"/>
      </w:pPr>
      <w:r>
        <w:t>Setting boundaries only works if everyone communicates. Families, loved ones, researchers, and work support people must talk openly</w:t>
      </w:r>
      <w:r w:rsidR="004E0263">
        <w:t xml:space="preserve">. This must happen even </w:t>
      </w:r>
      <w:r>
        <w:t xml:space="preserve">when topics feel uncomfortable. If problems come up, they must be addressed right away. Everyone must be involved in solving them, but the self-advocate should always take </w:t>
      </w:r>
      <w:r>
        <w:lastRenderedPageBreak/>
        <w:t>the lead. This respects the self-advocate as an independent worker and ensures the project runs smoothly. It also keeps everyone safe and healthy.</w:t>
      </w:r>
    </w:p>
    <w:p w14:paraId="0B1AE6D0" w14:textId="77777777" w:rsidR="005A492D" w:rsidRDefault="005A492D" w:rsidP="005A492D">
      <w:pPr>
        <w:pBdr>
          <w:top w:val="single" w:sz="4" w:space="1" w:color="000000"/>
          <w:left w:val="single" w:sz="4" w:space="4" w:color="000000"/>
          <w:bottom w:val="single" w:sz="4" w:space="1" w:color="000000"/>
          <w:right w:val="single" w:sz="4" w:space="4" w:color="000000"/>
        </w:pBdr>
        <w:ind w:left="360"/>
      </w:pPr>
      <w:r>
        <w:rPr>
          <w:i/>
        </w:rPr>
        <w:t>Example</w:t>
      </w:r>
      <w:r>
        <w:t>: A self-advocate needs help taking notes in meetings but forgets to say so at the start. The work support person thinks they are only there to provide technology help. The self-advocate gets frustrated when no one takes notes. Once the issue is raised, the self-advocate and work support person meet. They agree on a clear plan for who will take notes.</w:t>
      </w:r>
    </w:p>
    <w:p w14:paraId="0000000B" w14:textId="77777777" w:rsidR="00DF4EF5" w:rsidRDefault="00000000" w:rsidP="005A492D">
      <w:pPr>
        <w:pStyle w:val="Heading3"/>
        <w:ind w:left="0" w:firstLine="360"/>
      </w:pPr>
      <w:r>
        <w:t>Uncomfortable Support Needs</w:t>
      </w:r>
    </w:p>
    <w:p w14:paraId="0000000C" w14:textId="77777777" w:rsidR="00DF4EF5" w:rsidRDefault="00000000">
      <w:pPr>
        <w:ind w:left="360"/>
      </w:pPr>
      <w:r>
        <w:t>Families sometimes avoid talking about private topics, like restroom help or emotional support. But these needs must be discussed with the self-advocate, the support person, and the research lead. Clear plans protect the dignity of the self-advocate and prevent problems in the future.</w:t>
      </w:r>
    </w:p>
    <w:p w14:paraId="0000000D" w14:textId="77777777" w:rsidR="00DF4EF5" w:rsidRDefault="00000000" w:rsidP="005A492D">
      <w:pPr>
        <w:pStyle w:val="Heading3"/>
        <w:pBdr>
          <w:top w:val="single" w:sz="4" w:space="1" w:color="000000"/>
          <w:left w:val="single" w:sz="4" w:space="4" w:color="000000"/>
          <w:bottom w:val="single" w:sz="4" w:space="1" w:color="000000"/>
          <w:right w:val="single" w:sz="4" w:space="4" w:color="000000"/>
        </w:pBdr>
        <w:spacing w:line="276" w:lineRule="auto"/>
        <w:rPr>
          <w:b w:val="0"/>
        </w:rPr>
      </w:pPr>
      <w:r>
        <w:rPr>
          <w:b w:val="0"/>
          <w:i/>
        </w:rPr>
        <w:t>Example</w:t>
      </w:r>
      <w:r>
        <w:rPr>
          <w:b w:val="0"/>
        </w:rPr>
        <w:t>: A self-advocate may need help using the restroom during a long meeting. The family feels uncomfortable bringing it up. If no one talks about it, the self-advocate will not get the support they need. By talking openly, everyone can make a plan before the project starts.</w:t>
      </w:r>
    </w:p>
    <w:p w14:paraId="0000000E" w14:textId="77777777" w:rsidR="00DF4EF5" w:rsidRDefault="00000000" w:rsidP="005A492D">
      <w:pPr>
        <w:pStyle w:val="Heading3"/>
        <w:ind w:left="0" w:firstLine="360"/>
      </w:pPr>
      <w:r>
        <w:t>Communication Boundaries</w:t>
      </w:r>
    </w:p>
    <w:p w14:paraId="7092D121" w14:textId="564A7A49" w:rsidR="004E0263" w:rsidRDefault="00000000" w:rsidP="004E0263">
      <w:pPr>
        <w:ind w:left="360"/>
      </w:pPr>
      <w:r>
        <w:t xml:space="preserve">Families, self-advocates, and </w:t>
      </w:r>
      <w:r w:rsidR="005A492D">
        <w:t>support people</w:t>
      </w:r>
      <w:r>
        <w:t xml:space="preserve"> must work together to set clear boundaries about communication. They should</w:t>
      </w:r>
      <w:r w:rsidR="005A492D">
        <w:t xml:space="preserve"> agree about when they will</w:t>
      </w:r>
      <w:r>
        <w:t xml:space="preserve"> talk about work</w:t>
      </w:r>
      <w:r w:rsidR="005A492D">
        <w:t xml:space="preserve"> and when they can talk about other </w:t>
      </w:r>
      <w:r w:rsidR="005A492D" w:rsidRPr="005A492D">
        <w:t>interests</w:t>
      </w:r>
      <w:r w:rsidR="005A492D">
        <w:t xml:space="preserve">. For example, they may agree to only talk about work during </w:t>
      </w:r>
      <w:r w:rsidR="004E0263">
        <w:t>meetings</w:t>
      </w:r>
      <w:r w:rsidR="005A492D">
        <w:t xml:space="preserve">. They may agree that </w:t>
      </w:r>
      <w:r w:rsidR="005A492D" w:rsidRPr="005A492D">
        <w:t>during breaks</w:t>
      </w:r>
      <w:r w:rsidR="004E0263">
        <w:t>,</w:t>
      </w:r>
      <w:r w:rsidR="005A492D" w:rsidRPr="005A492D">
        <w:t xml:space="preserve"> </w:t>
      </w:r>
      <w:r w:rsidR="005A492D">
        <w:t>they can talk about other interests</w:t>
      </w:r>
      <w:r w:rsidR="005A492D" w:rsidRPr="005A492D">
        <w:t>.</w:t>
      </w:r>
      <w:r w:rsidR="005A492D">
        <w:t xml:space="preserve"> </w:t>
      </w:r>
      <w:r w:rsidR="004E0263">
        <w:t>Sometimes, personal issues affect a person’s work. In that case, it may be appropriate for the self-advocate to tell the support person about it.</w:t>
      </w:r>
    </w:p>
    <w:p w14:paraId="0000000F" w14:textId="21911792" w:rsidR="00DF4EF5" w:rsidRDefault="005A492D">
      <w:pPr>
        <w:ind w:left="360"/>
      </w:pPr>
      <w:r>
        <w:t>Families, self-advocates, and work support people should agree on how the self-advocate can contact the work support person. They should agree on the hours they will be available. They should agree on whether phone, text, and/or email is okay. Boundaries protect both the self-advocate and the work support person.</w:t>
      </w:r>
    </w:p>
    <w:p w14:paraId="00000010" w14:textId="159DC561" w:rsidR="00DF4EF5" w:rsidRDefault="00000000">
      <w:pPr>
        <w:pBdr>
          <w:top w:val="single" w:sz="4" w:space="1" w:color="000000"/>
          <w:left w:val="single" w:sz="4" w:space="4" w:color="000000"/>
          <w:bottom w:val="single" w:sz="4" w:space="1" w:color="000000"/>
          <w:right w:val="single" w:sz="4" w:space="4" w:color="000000"/>
        </w:pBdr>
        <w:ind w:left="360"/>
      </w:pPr>
      <w:r>
        <w:rPr>
          <w:i/>
        </w:rPr>
        <w:t>Example</w:t>
      </w:r>
      <w:r>
        <w:t xml:space="preserve">: A self-advocate has a work support person who helps during project meetings. One Saturday, the self-advocate calls the support person </w:t>
      </w:r>
      <w:r w:rsidR="004E0263">
        <w:t>to talk about a personal issue</w:t>
      </w:r>
      <w:r>
        <w:t>. This crosses a boundary. The support person should remind the self-advocate that their role is to help with work only, and that calls outside of work hours are not okay. The family and research lead can help the self-advocate find other ways to connect with friends or social supports.</w:t>
      </w:r>
    </w:p>
    <w:p w14:paraId="40B09FC7" w14:textId="77777777" w:rsidR="004E0263" w:rsidRDefault="004E0263">
      <w:pPr>
        <w:rPr>
          <w:sz w:val="28"/>
          <w:szCs w:val="28"/>
        </w:rPr>
      </w:pPr>
      <w:r>
        <w:br w:type="page"/>
      </w:r>
    </w:p>
    <w:p w14:paraId="00000014" w14:textId="02423324" w:rsidR="00DF4EF5" w:rsidRDefault="00000000">
      <w:pPr>
        <w:pStyle w:val="Heading2"/>
      </w:pPr>
      <w:r>
        <w:lastRenderedPageBreak/>
        <w:t>Who Should I Talk To?</w:t>
      </w:r>
    </w:p>
    <w:p w14:paraId="00000015" w14:textId="77777777" w:rsidR="00DF4EF5" w:rsidRDefault="00000000">
      <w:pPr>
        <w:pStyle w:val="Heading3"/>
      </w:pPr>
      <w:bookmarkStart w:id="0" w:name="_heading=h.c24nwhn46998" w:colFirst="0" w:colLast="0"/>
      <w:bookmarkEnd w:id="0"/>
      <w:r>
        <w:t>Your Loved One</w:t>
      </w:r>
    </w:p>
    <w:p w14:paraId="00000016" w14:textId="77777777" w:rsidR="00DF4EF5" w:rsidRDefault="00000000">
      <w:pPr>
        <w:ind w:left="360"/>
      </w:pPr>
      <w:r>
        <w:t>Start with your loved one. They should say what support they want and need. They should lead conversations with work support people.</w:t>
      </w:r>
    </w:p>
    <w:p w14:paraId="00000017" w14:textId="77777777" w:rsidR="00DF4EF5" w:rsidRDefault="00000000">
      <w:pPr>
        <w:pStyle w:val="Heading3"/>
      </w:pPr>
      <w:bookmarkStart w:id="1" w:name="_heading=h.8xkj3o1rurlt" w:colFirst="0" w:colLast="0"/>
      <w:bookmarkEnd w:id="1"/>
      <w:r>
        <w:t>Research Lead</w:t>
      </w:r>
    </w:p>
    <w:p w14:paraId="00000018" w14:textId="77777777" w:rsidR="00DF4EF5" w:rsidRDefault="00000000">
      <w:pPr>
        <w:ind w:left="360"/>
      </w:pPr>
      <w:r>
        <w:t>Talk with the research lead about support needs, especially uncomfortable ones. Your loved one should lead the conversation.</w:t>
      </w:r>
    </w:p>
    <w:p w14:paraId="00000019" w14:textId="77777777" w:rsidR="00DF4EF5" w:rsidRDefault="00000000">
      <w:pPr>
        <w:pStyle w:val="Heading3"/>
      </w:pPr>
      <w:bookmarkStart w:id="2" w:name="_heading=h.q9ezjgawfk23" w:colFirst="0" w:colLast="0"/>
      <w:bookmarkEnd w:id="2"/>
      <w:r>
        <w:t>Group Home Staff (if applicable)</w:t>
      </w:r>
    </w:p>
    <w:p w14:paraId="0000001A" w14:textId="77777777" w:rsidR="00DF4EF5" w:rsidRDefault="00000000">
      <w:pPr>
        <w:ind w:left="360"/>
      </w:pPr>
      <w:r>
        <w:t>If your loved one lives in a group home, include staff in the discussion. The research lead can explain the project and what support is provided. The self-advocate should be an active part of the conversation.</w:t>
      </w:r>
    </w:p>
    <w:p w14:paraId="7551F4D6" w14:textId="77777777" w:rsidR="00FA5B37" w:rsidRDefault="00FA5B37" w:rsidP="00FA5B37">
      <w:pPr>
        <w:pStyle w:val="Heading2"/>
      </w:pPr>
      <w:r>
        <w:t>For More Information</w:t>
      </w:r>
    </w:p>
    <w:p w14:paraId="642AB472" w14:textId="77777777" w:rsidR="00FA5B37" w:rsidRPr="004B3D34" w:rsidRDefault="00FA5B37" w:rsidP="00FA5B37">
      <w:r>
        <w:t>If you still have questions or concerns, you may find one or more of these helpful:</w:t>
      </w:r>
    </w:p>
    <w:p w14:paraId="555964C9" w14:textId="77777777" w:rsidR="00FA5B37" w:rsidRPr="004B3D34" w:rsidRDefault="00FA5B37" w:rsidP="00FA5B37">
      <w:pPr>
        <w:pStyle w:val="ListParagraph"/>
        <w:numPr>
          <w:ilvl w:val="0"/>
          <w:numId w:val="2"/>
        </w:numPr>
        <w:ind w:left="360"/>
      </w:pPr>
      <w:hyperlink r:id="rId13" w:history="1">
        <w:r w:rsidRPr="004B3D34">
          <w:rPr>
            <w:rStyle w:val="Hyperlink"/>
          </w:rPr>
          <w:t>Free Online Participatory Action Research Courses</w:t>
        </w:r>
      </w:hyperlink>
      <w:r w:rsidRPr="004B3D34">
        <w:t xml:space="preserve"> (Self-Advocate Network Academy)</w:t>
      </w:r>
    </w:p>
    <w:p w14:paraId="0000002A" w14:textId="2E94CAD8" w:rsidR="00DF4EF5" w:rsidRDefault="00FA5B37" w:rsidP="00FA5B37">
      <w:pPr>
        <w:pStyle w:val="ListParagraph"/>
        <w:numPr>
          <w:ilvl w:val="0"/>
          <w:numId w:val="2"/>
        </w:numPr>
        <w:ind w:left="360"/>
      </w:pPr>
      <w:hyperlink r:id="rId14" w:history="1">
        <w:r w:rsidRPr="004B3D34">
          <w:rPr>
            <w:rStyle w:val="Hyperlink"/>
          </w:rPr>
          <w:t>PAR Resource Hub</w:t>
        </w:r>
      </w:hyperlink>
      <w:r w:rsidRPr="004B3D34">
        <w:t xml:space="preserve"> (videos, learning games, </w:t>
      </w:r>
      <w:r>
        <w:t>blog posts, and more</w:t>
      </w:r>
      <w:r w:rsidRPr="004B3D34">
        <w:t>)</w:t>
      </w:r>
    </w:p>
    <w:sectPr w:rsidR="00DF4EF5">
      <w:headerReference w:type="default" r:id="rId15"/>
      <w:footerReference w:type="default" r:id="rId1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93FB2" w14:textId="77777777" w:rsidR="0044391D" w:rsidRDefault="0044391D">
      <w:pPr>
        <w:spacing w:after="0" w:line="240" w:lineRule="auto"/>
      </w:pPr>
      <w:r>
        <w:separator/>
      </w:r>
    </w:p>
  </w:endnote>
  <w:endnote w:type="continuationSeparator" w:id="0">
    <w:p w14:paraId="43B6D13A" w14:textId="77777777" w:rsidR="0044391D" w:rsidRDefault="0044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embedRegular r:id="rId1" w:fontKey="{5D099E7A-9828-4EB3-B9C1-A64B675E95F6}"/>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embedRegular r:id="rId2" w:fontKey="{84B3C8C3-0CC0-44BE-8557-4AA0E84B6DF2}"/>
    <w:embedBold r:id="rId3" w:fontKey="{F1E13C8E-83C7-421D-AD94-108481444578}"/>
    <w:embedItalic r:id="rId4" w:fontKey="{03978CDF-9A45-4DD5-91F5-D46D0E1308EE}"/>
  </w:font>
  <w:font w:name="Times New Roman">
    <w:panose1 w:val="02020603050405020304"/>
    <w:charset w:val="00"/>
    <w:family w:val="roman"/>
    <w:pitch w:val="variable"/>
    <w:sig w:usb0="E0002EFF" w:usb1="C000785B" w:usb2="00000009" w:usb3="00000000" w:csb0="000001FF" w:csb1="00000000"/>
  </w:font>
  <w:font w:name="Play">
    <w:charset w:val="00"/>
    <w:family w:val="auto"/>
    <w:pitch w:val="default"/>
    <w:embedRegular r:id="rId5" w:fontKey="{19618179-F879-4161-9C38-C34C492AC638}"/>
  </w:font>
  <w:font w:name="Aptos Display">
    <w:charset w:val="00"/>
    <w:family w:val="swiss"/>
    <w:pitch w:val="variable"/>
    <w:sig w:usb0="20000287" w:usb1="00000003" w:usb2="00000000" w:usb3="00000000" w:csb0="0000019F" w:csb1="00000000"/>
    <w:embedRegular r:id="rId6" w:fontKey="{48F18A05-8BA4-4B78-9706-64D8A770F13A}"/>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D" w14:textId="59CBE680" w:rsidR="00DF4EF5" w:rsidRDefault="00000000">
    <w:pPr>
      <w:pBdr>
        <w:top w:val="single" w:sz="4" w:space="1" w:color="000000"/>
        <w:left w:val="nil"/>
        <w:bottom w:val="nil"/>
        <w:right w:val="nil"/>
        <w:between w:val="nil"/>
      </w:pBdr>
      <w:tabs>
        <w:tab w:val="center" w:pos="4680"/>
        <w:tab w:val="right" w:pos="9360"/>
      </w:tabs>
      <w:spacing w:after="0" w:line="240" w:lineRule="auto"/>
      <w:rPr>
        <w:i/>
        <w:color w:val="000000"/>
      </w:rPr>
    </w:pPr>
    <w:r>
      <w:rPr>
        <w:i/>
        <w:color w:val="000000"/>
      </w:rPr>
      <w:t>Strategic Education Solutions</w:t>
    </w:r>
    <w:r>
      <w:rPr>
        <w:i/>
        <w:color w:val="000000"/>
      </w:rPr>
      <w:tab/>
      <w:t xml:space="preserve">Page </w:t>
    </w:r>
    <w:r>
      <w:rPr>
        <w:i/>
        <w:color w:val="000000"/>
      </w:rPr>
      <w:fldChar w:fldCharType="begin"/>
    </w:r>
    <w:r>
      <w:rPr>
        <w:i/>
        <w:color w:val="000000"/>
      </w:rPr>
      <w:instrText>PAGE</w:instrText>
    </w:r>
    <w:r>
      <w:rPr>
        <w:i/>
        <w:color w:val="000000"/>
      </w:rPr>
      <w:fldChar w:fldCharType="separate"/>
    </w:r>
    <w:r w:rsidR="005A492D">
      <w:rPr>
        <w:i/>
        <w:noProof/>
        <w:color w:val="000000"/>
      </w:rPr>
      <w:t>1</w:t>
    </w:r>
    <w:r>
      <w:rPr>
        <w:i/>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739AB" w14:textId="77777777" w:rsidR="0044391D" w:rsidRDefault="0044391D">
      <w:pPr>
        <w:spacing w:after="0" w:line="240" w:lineRule="auto"/>
      </w:pPr>
      <w:r>
        <w:separator/>
      </w:r>
    </w:p>
  </w:footnote>
  <w:footnote w:type="continuationSeparator" w:id="0">
    <w:p w14:paraId="07507387" w14:textId="77777777" w:rsidR="0044391D" w:rsidRDefault="0044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B" w14:textId="3285009F" w:rsidR="00DF4EF5" w:rsidRDefault="00000000">
    <w:pPr>
      <w:pBdr>
        <w:top w:val="nil"/>
        <w:left w:val="nil"/>
        <w:bottom w:val="single" w:sz="4" w:space="1" w:color="000000"/>
        <w:right w:val="nil"/>
        <w:between w:val="nil"/>
      </w:pBdr>
      <w:tabs>
        <w:tab w:val="right" w:pos="9360"/>
      </w:tabs>
      <w:spacing w:after="0" w:line="240" w:lineRule="auto"/>
      <w:rPr>
        <w:b/>
        <w:color w:val="000000"/>
      </w:rPr>
    </w:pPr>
    <w:r>
      <w:rPr>
        <w:b/>
        <w:color w:val="000000"/>
      </w:rPr>
      <w:t>Participatory Action Research</w:t>
    </w:r>
    <w:r>
      <w:rPr>
        <w:b/>
        <w:color w:val="000000"/>
      </w:rPr>
      <w:tab/>
    </w:r>
    <w:r w:rsidR="002E6188">
      <w:rPr>
        <w:b/>
        <w:color w:val="000000"/>
      </w:rPr>
      <w:t>A Closer Look</w:t>
    </w:r>
  </w:p>
  <w:p w14:paraId="0000002C" w14:textId="77777777" w:rsidR="00DF4EF5" w:rsidRDefault="00DF4EF5">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2A65D9"/>
    <w:multiLevelType w:val="multilevel"/>
    <w:tmpl w:val="F3E405C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55BC44F7"/>
    <w:multiLevelType w:val="multilevel"/>
    <w:tmpl w:val="0A0A93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sz w:val="20"/>
        <w:szCs w:val="20"/>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988507037">
    <w:abstractNumId w:val="1"/>
  </w:num>
  <w:num w:numId="2" w16cid:durableId="839783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embedTrueTypeFont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EF5"/>
    <w:rsid w:val="00110C5B"/>
    <w:rsid w:val="00141183"/>
    <w:rsid w:val="001C144A"/>
    <w:rsid w:val="001E727F"/>
    <w:rsid w:val="002E6188"/>
    <w:rsid w:val="003E0049"/>
    <w:rsid w:val="0044391D"/>
    <w:rsid w:val="004E0263"/>
    <w:rsid w:val="005A492D"/>
    <w:rsid w:val="007334E0"/>
    <w:rsid w:val="009539F2"/>
    <w:rsid w:val="00B213C6"/>
    <w:rsid w:val="00C372E2"/>
    <w:rsid w:val="00D55010"/>
    <w:rsid w:val="00DF4EF5"/>
    <w:rsid w:val="00EB1966"/>
    <w:rsid w:val="00FA5B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7CB65"/>
  <w15:docId w15:val="{39FCDE13-DF97-402F-933A-FD4BC5C2B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ptos"/>
        <w:sz w:val="24"/>
        <w:szCs w:val="24"/>
        <w:lang w:val="en"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after="240" w:line="259" w:lineRule="auto"/>
      <w:outlineLvl w:val="0"/>
    </w:pPr>
    <w:rPr>
      <w:b/>
      <w:sz w:val="36"/>
      <w:szCs w:val="36"/>
    </w:rPr>
  </w:style>
  <w:style w:type="paragraph" w:styleId="Heading2">
    <w:name w:val="heading 2"/>
    <w:basedOn w:val="Normal"/>
    <w:next w:val="Normal"/>
    <w:link w:val="Heading2Char"/>
    <w:uiPriority w:val="9"/>
    <w:unhideWhenUsed/>
    <w:qFormat/>
    <w:pPr>
      <w:keepNext/>
      <w:keepLines/>
      <w:outlineLvl w:val="1"/>
    </w:pPr>
    <w:rPr>
      <w:sz w:val="28"/>
      <w:szCs w:val="28"/>
    </w:rPr>
  </w:style>
  <w:style w:type="paragraph" w:styleId="Heading3">
    <w:name w:val="heading 3"/>
    <w:basedOn w:val="Normal"/>
    <w:next w:val="Normal"/>
    <w:link w:val="Heading3Char"/>
    <w:uiPriority w:val="9"/>
    <w:unhideWhenUsed/>
    <w:qFormat/>
    <w:pPr>
      <w:spacing w:line="240" w:lineRule="auto"/>
      <w:ind w:left="360"/>
      <w:outlineLvl w:val="2"/>
    </w:pPr>
    <w:rPr>
      <w:b/>
    </w:rPr>
  </w:style>
  <w:style w:type="paragraph" w:styleId="Heading4">
    <w:name w:val="heading 4"/>
    <w:basedOn w:val="Normal"/>
    <w:next w:val="Normal"/>
    <w:link w:val="Heading4Char"/>
    <w:uiPriority w:val="9"/>
    <w:semiHidden/>
    <w:unhideWhenUsed/>
    <w:qFormat/>
    <w:pPr>
      <w:keepNext/>
      <w:keepLines/>
      <w:spacing w:before="80" w:after="40"/>
      <w:outlineLvl w:val="3"/>
    </w:pPr>
    <w:rPr>
      <w:i/>
      <w:color w:val="0F4761"/>
    </w:rPr>
  </w:style>
  <w:style w:type="paragraph" w:styleId="Heading5">
    <w:name w:val="heading 5"/>
    <w:basedOn w:val="Normal"/>
    <w:next w:val="Normal"/>
    <w:link w:val="Heading5Char"/>
    <w:uiPriority w:val="9"/>
    <w:semiHidden/>
    <w:unhideWhenUsed/>
    <w:qFormat/>
    <w:pPr>
      <w:keepNext/>
      <w:keepLines/>
      <w:spacing w:before="80" w:after="40"/>
      <w:outlineLvl w:val="4"/>
    </w:pPr>
    <w:rPr>
      <w:color w:val="0F4761"/>
    </w:rPr>
  </w:style>
  <w:style w:type="paragraph" w:styleId="Heading6">
    <w:name w:val="heading 6"/>
    <w:basedOn w:val="Normal"/>
    <w:next w:val="Normal"/>
    <w:link w:val="Heading6Char"/>
    <w:uiPriority w:val="9"/>
    <w:semiHidden/>
    <w:unhideWhenUsed/>
    <w:qFormat/>
    <w:pPr>
      <w:keepNext/>
      <w:keepLines/>
      <w:spacing w:before="40" w:after="0"/>
      <w:outlineLvl w:val="5"/>
    </w:pPr>
    <w:rPr>
      <w:i/>
      <w:color w:val="595959"/>
    </w:rPr>
  </w:style>
  <w:style w:type="paragraph" w:styleId="Heading7">
    <w:name w:val="heading 7"/>
    <w:basedOn w:val="Normal"/>
    <w:next w:val="Normal"/>
    <w:link w:val="Heading7Char"/>
    <w:uiPriority w:val="9"/>
    <w:semiHidden/>
    <w:unhideWhenUsed/>
    <w:qFormat/>
    <w:rsid w:val="00F65F23"/>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65F23"/>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65F23"/>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link w:val="TitleChar"/>
    <w:uiPriority w:val="10"/>
    <w:qFormat/>
    <w:pPr>
      <w:spacing w:after="80" w:line="240" w:lineRule="auto"/>
    </w:pPr>
    <w:rPr>
      <w:rFonts w:ascii="Play" w:eastAsia="Play" w:hAnsi="Play" w:cs="Play"/>
      <w:sz w:val="56"/>
      <w:szCs w:val="56"/>
    </w:rPr>
  </w:style>
  <w:style w:type="table" w:customStyle="1" w:styleId="TableNormal1">
    <w:name w:val="TableNormal"/>
    <w:tblPr>
      <w:tblCellMar>
        <w:top w:w="0" w:type="dxa"/>
        <w:left w:w="0" w:type="dxa"/>
        <w:bottom w:w="0" w:type="dxa"/>
        <w:right w:w="0" w:type="dxa"/>
      </w:tblCellMar>
    </w:tblPr>
  </w:style>
  <w:style w:type="character" w:customStyle="1" w:styleId="Heading1Char">
    <w:name w:val="Heading 1 Char"/>
    <w:basedOn w:val="DefaultParagraphFont"/>
    <w:link w:val="Heading1"/>
    <w:uiPriority w:val="9"/>
    <w:rsid w:val="00313FF2"/>
    <w:rPr>
      <w:rFonts w:ascii="Aptos" w:eastAsiaTheme="majorEastAsia" w:hAnsi="Aptos" w:cstheme="majorBidi"/>
      <w:b/>
      <w:sz w:val="36"/>
      <w:szCs w:val="32"/>
    </w:rPr>
  </w:style>
  <w:style w:type="character" w:customStyle="1" w:styleId="Heading2Char">
    <w:name w:val="Heading 2 Char"/>
    <w:basedOn w:val="DefaultParagraphFont"/>
    <w:link w:val="Heading2"/>
    <w:uiPriority w:val="9"/>
    <w:rsid w:val="00074D6F"/>
    <w:rPr>
      <w:rFonts w:ascii="Aptos" w:eastAsiaTheme="majorEastAsia" w:hAnsi="Aptos" w:cstheme="majorBidi"/>
      <w:sz w:val="28"/>
      <w:szCs w:val="26"/>
    </w:rPr>
  </w:style>
  <w:style w:type="character" w:customStyle="1" w:styleId="Heading3Char">
    <w:name w:val="Heading 3 Char"/>
    <w:basedOn w:val="DefaultParagraphFont"/>
    <w:link w:val="Heading3"/>
    <w:uiPriority w:val="9"/>
    <w:rsid w:val="00074D6F"/>
    <w:rPr>
      <w:rFonts w:ascii="Aptos" w:eastAsia="Times New Roman" w:hAnsi="Aptos" w:cs="Times New Roman"/>
      <w:b/>
      <w:bCs/>
      <w:sz w:val="24"/>
      <w:szCs w:val="27"/>
    </w:rPr>
  </w:style>
  <w:style w:type="character" w:customStyle="1" w:styleId="Heading4Char">
    <w:name w:val="Heading 4 Char"/>
    <w:basedOn w:val="DefaultParagraphFont"/>
    <w:link w:val="Heading4"/>
    <w:uiPriority w:val="9"/>
    <w:semiHidden/>
    <w:rsid w:val="00F65F23"/>
    <w:rPr>
      <w:rFonts w:eastAsiaTheme="majorEastAsia" w:cstheme="majorBidi"/>
      <w:i/>
      <w:iCs/>
      <w:color w:val="0F4761" w:themeColor="accent1" w:themeShade="BF"/>
      <w:kern w:val="0"/>
      <w:sz w:val="24"/>
    </w:rPr>
  </w:style>
  <w:style w:type="character" w:customStyle="1" w:styleId="Heading5Char">
    <w:name w:val="Heading 5 Char"/>
    <w:basedOn w:val="DefaultParagraphFont"/>
    <w:link w:val="Heading5"/>
    <w:uiPriority w:val="9"/>
    <w:semiHidden/>
    <w:rsid w:val="00F65F23"/>
    <w:rPr>
      <w:rFonts w:eastAsiaTheme="majorEastAsia" w:cstheme="majorBidi"/>
      <w:color w:val="0F4761" w:themeColor="accent1" w:themeShade="BF"/>
      <w:kern w:val="0"/>
      <w:sz w:val="24"/>
    </w:rPr>
  </w:style>
  <w:style w:type="character" w:customStyle="1" w:styleId="Heading6Char">
    <w:name w:val="Heading 6 Char"/>
    <w:basedOn w:val="DefaultParagraphFont"/>
    <w:link w:val="Heading6"/>
    <w:uiPriority w:val="9"/>
    <w:semiHidden/>
    <w:rsid w:val="00F65F23"/>
    <w:rPr>
      <w:rFonts w:eastAsiaTheme="majorEastAsia" w:cstheme="majorBidi"/>
      <w:i/>
      <w:iCs/>
      <w:color w:val="595959" w:themeColor="text1" w:themeTint="A6"/>
      <w:kern w:val="0"/>
      <w:sz w:val="24"/>
    </w:rPr>
  </w:style>
  <w:style w:type="character" w:customStyle="1" w:styleId="Heading7Char">
    <w:name w:val="Heading 7 Char"/>
    <w:basedOn w:val="DefaultParagraphFont"/>
    <w:link w:val="Heading7"/>
    <w:uiPriority w:val="9"/>
    <w:semiHidden/>
    <w:rsid w:val="00F65F23"/>
    <w:rPr>
      <w:rFonts w:eastAsiaTheme="majorEastAsia" w:cstheme="majorBidi"/>
      <w:color w:val="595959" w:themeColor="text1" w:themeTint="A6"/>
      <w:kern w:val="0"/>
      <w:sz w:val="24"/>
    </w:rPr>
  </w:style>
  <w:style w:type="character" w:customStyle="1" w:styleId="Heading8Char">
    <w:name w:val="Heading 8 Char"/>
    <w:basedOn w:val="DefaultParagraphFont"/>
    <w:link w:val="Heading8"/>
    <w:uiPriority w:val="9"/>
    <w:semiHidden/>
    <w:rsid w:val="00F65F23"/>
    <w:rPr>
      <w:rFonts w:eastAsiaTheme="majorEastAsia" w:cstheme="majorBidi"/>
      <w:i/>
      <w:iCs/>
      <w:color w:val="272727" w:themeColor="text1" w:themeTint="D8"/>
      <w:kern w:val="0"/>
      <w:sz w:val="24"/>
    </w:rPr>
  </w:style>
  <w:style w:type="character" w:customStyle="1" w:styleId="Heading9Char">
    <w:name w:val="Heading 9 Char"/>
    <w:basedOn w:val="DefaultParagraphFont"/>
    <w:link w:val="Heading9"/>
    <w:uiPriority w:val="9"/>
    <w:semiHidden/>
    <w:rsid w:val="00F65F23"/>
    <w:rPr>
      <w:rFonts w:eastAsiaTheme="majorEastAsia" w:cstheme="majorBidi"/>
      <w:color w:val="272727" w:themeColor="text1" w:themeTint="D8"/>
      <w:kern w:val="0"/>
      <w:sz w:val="24"/>
    </w:rPr>
  </w:style>
  <w:style w:type="character" w:customStyle="1" w:styleId="TitleChar">
    <w:name w:val="Title Char"/>
    <w:basedOn w:val="DefaultParagraphFont"/>
    <w:link w:val="Title"/>
    <w:uiPriority w:val="10"/>
    <w:rsid w:val="00F65F23"/>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sid w:val="00F65F23"/>
    <w:rPr>
      <w:rFonts w:eastAsiaTheme="majorEastAsia" w:cstheme="majorBidi"/>
      <w:color w:val="595959" w:themeColor="text1" w:themeTint="A6"/>
      <w:spacing w:val="15"/>
      <w:kern w:val="0"/>
      <w:sz w:val="28"/>
      <w:szCs w:val="28"/>
    </w:rPr>
  </w:style>
  <w:style w:type="paragraph" w:styleId="Quote">
    <w:name w:val="Quote"/>
    <w:basedOn w:val="Normal"/>
    <w:next w:val="Normal"/>
    <w:link w:val="QuoteChar"/>
    <w:uiPriority w:val="29"/>
    <w:qFormat/>
    <w:rsid w:val="00F65F2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65F23"/>
    <w:rPr>
      <w:rFonts w:ascii="Aptos" w:hAnsi="Aptos"/>
      <w:i/>
      <w:iCs/>
      <w:color w:val="404040" w:themeColor="text1" w:themeTint="BF"/>
      <w:kern w:val="0"/>
      <w:sz w:val="24"/>
    </w:rPr>
  </w:style>
  <w:style w:type="paragraph" w:styleId="ListParagraph">
    <w:name w:val="List Paragraph"/>
    <w:basedOn w:val="Normal"/>
    <w:uiPriority w:val="34"/>
    <w:qFormat/>
    <w:rsid w:val="00F65F23"/>
    <w:pPr>
      <w:ind w:left="720"/>
      <w:contextualSpacing/>
    </w:pPr>
  </w:style>
  <w:style w:type="character" w:styleId="IntenseEmphasis">
    <w:name w:val="Intense Emphasis"/>
    <w:basedOn w:val="DefaultParagraphFont"/>
    <w:uiPriority w:val="21"/>
    <w:qFormat/>
    <w:rsid w:val="00F65F23"/>
    <w:rPr>
      <w:i/>
      <w:iCs/>
      <w:color w:val="0F4761" w:themeColor="accent1" w:themeShade="BF"/>
    </w:rPr>
  </w:style>
  <w:style w:type="paragraph" w:styleId="IntenseQuote">
    <w:name w:val="Intense Quote"/>
    <w:basedOn w:val="Normal"/>
    <w:next w:val="Normal"/>
    <w:link w:val="IntenseQuoteChar"/>
    <w:uiPriority w:val="30"/>
    <w:qFormat/>
    <w:rsid w:val="00F65F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65F23"/>
    <w:rPr>
      <w:rFonts w:ascii="Aptos" w:hAnsi="Aptos"/>
      <w:i/>
      <w:iCs/>
      <w:color w:val="0F4761" w:themeColor="accent1" w:themeShade="BF"/>
      <w:kern w:val="0"/>
      <w:sz w:val="24"/>
    </w:rPr>
  </w:style>
  <w:style w:type="character" w:styleId="IntenseReference">
    <w:name w:val="Intense Reference"/>
    <w:basedOn w:val="DefaultParagraphFont"/>
    <w:uiPriority w:val="32"/>
    <w:qFormat/>
    <w:rsid w:val="00F65F23"/>
    <w:rPr>
      <w:b/>
      <w:bCs/>
      <w:smallCaps/>
      <w:color w:val="0F4761" w:themeColor="accent1" w:themeShade="BF"/>
      <w:spacing w:val="5"/>
    </w:rPr>
  </w:style>
  <w:style w:type="paragraph" w:styleId="Header">
    <w:name w:val="header"/>
    <w:basedOn w:val="Normal"/>
    <w:link w:val="HeaderChar"/>
    <w:uiPriority w:val="99"/>
    <w:unhideWhenUsed/>
    <w:rsid w:val="00F65F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5F23"/>
    <w:rPr>
      <w:rFonts w:ascii="Aptos" w:hAnsi="Aptos"/>
      <w:kern w:val="0"/>
      <w:sz w:val="24"/>
    </w:rPr>
  </w:style>
  <w:style w:type="paragraph" w:styleId="Footer">
    <w:name w:val="footer"/>
    <w:basedOn w:val="Normal"/>
    <w:link w:val="FooterChar"/>
    <w:uiPriority w:val="99"/>
    <w:unhideWhenUsed/>
    <w:rsid w:val="00F65F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5F23"/>
    <w:rPr>
      <w:rFonts w:ascii="Aptos" w:hAnsi="Aptos"/>
      <w:kern w:val="0"/>
      <w:sz w:val="24"/>
    </w:rPr>
  </w:style>
  <w:style w:type="character" w:styleId="Hyperlink">
    <w:name w:val="Hyperlink"/>
    <w:basedOn w:val="DefaultParagraphFont"/>
    <w:uiPriority w:val="99"/>
    <w:unhideWhenUsed/>
    <w:rsid w:val="00DE7729"/>
    <w:rPr>
      <w:color w:val="467886" w:themeColor="hyperlink"/>
      <w:u w:val="single"/>
    </w:rPr>
  </w:style>
  <w:style w:type="character" w:styleId="UnresolvedMention">
    <w:name w:val="Unresolved Mention"/>
    <w:basedOn w:val="DefaultParagraphFont"/>
    <w:uiPriority w:val="99"/>
    <w:semiHidden/>
    <w:unhideWhenUsed/>
    <w:rsid w:val="00DE7729"/>
    <w:rPr>
      <w:color w:val="605E5C"/>
      <w:shd w:val="clear" w:color="auto" w:fill="E1DFDD"/>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Subtitle">
    <w:name w:val="Subtitle"/>
    <w:basedOn w:val="Normal"/>
    <w:next w:val="Normal"/>
    <w:link w:val="SubtitleChar"/>
    <w:uiPriority w:val="11"/>
    <w:qFormat/>
    <w:pPr>
      <w:spacing w:after="160"/>
    </w:pPr>
    <w:rPr>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sanetwork.learnworlds.com/participatory-action-research-self-advocate-course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elfadvocatenetwork.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burrow@strategicedsolutions.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selfadvocatenetwork.com/" TargetMode="External"/><Relationship Id="rId14" Type="http://schemas.openxmlformats.org/officeDocument/2006/relationships/hyperlink" Target="https://selfadvocatenetwork.com/resources/participatory-research/"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0PIqrfbpitSJbHm6Csbsr7Blxeg==">CgMxLjAyDmguYzI0bndobjQ2OTk4Mg5oLjh4a2ozbzFydXJsdDIOaC5xOWV6amdhd2ZrMjM4AHIhMWw3cHNBM00yRXhyMXJmb185Zk9PV1JnbUZwRFVDWHBN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951</Words>
  <Characters>5423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Cynthia Burrow</dc:creator>
  <cp:lastModifiedBy>Cynthia Burrow</cp:lastModifiedBy>
  <cp:revision>5</cp:revision>
  <dcterms:created xsi:type="dcterms:W3CDTF">2025-10-13T19:41:00Z</dcterms:created>
  <dcterms:modified xsi:type="dcterms:W3CDTF">2026-02-06T20:02:00Z</dcterms:modified>
</cp:coreProperties>
</file>